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688" w:rsidRDefault="00043688" w:rsidP="001948C1">
      <w:pPr>
        <w:jc w:val="center"/>
        <w:rPr>
          <w:b/>
          <w:sz w:val="36"/>
          <w:szCs w:val="36"/>
          <w:u w:val="single"/>
        </w:rPr>
      </w:pPr>
      <w:bookmarkStart w:id="0" w:name="_GoBack"/>
      <w:bookmarkEnd w:id="0"/>
      <w:r>
        <w:rPr>
          <w:b/>
          <w:sz w:val="36"/>
          <w:szCs w:val="36"/>
          <w:u w:val="single"/>
        </w:rPr>
        <w:t>It’s Not That This Dog Won’t Bark:</w:t>
      </w:r>
    </w:p>
    <w:p w:rsidR="001948C1" w:rsidRPr="00E82021" w:rsidRDefault="00043688" w:rsidP="001948C1">
      <w:pPr>
        <w:jc w:val="center"/>
        <w:rPr>
          <w:b/>
          <w:sz w:val="28"/>
          <w:szCs w:val="28"/>
          <w:u w:val="single"/>
        </w:rPr>
      </w:pPr>
      <w:r>
        <w:rPr>
          <w:b/>
          <w:sz w:val="36"/>
          <w:szCs w:val="36"/>
          <w:u w:val="single"/>
        </w:rPr>
        <w:t>It’s That It</w:t>
      </w:r>
      <w:r w:rsidR="00D07359">
        <w:rPr>
          <w:b/>
          <w:sz w:val="36"/>
          <w:szCs w:val="36"/>
          <w:u w:val="single"/>
        </w:rPr>
        <w:t>’s</w:t>
      </w:r>
      <w:r>
        <w:rPr>
          <w:b/>
          <w:sz w:val="36"/>
          <w:szCs w:val="36"/>
          <w:u w:val="single"/>
        </w:rPr>
        <w:t xml:space="preserve"> Barking Up The Wrong Tree</w:t>
      </w:r>
      <w:r w:rsidR="001948C1">
        <w:rPr>
          <w:b/>
          <w:sz w:val="36"/>
          <w:szCs w:val="36"/>
          <w:u w:val="single"/>
        </w:rPr>
        <w:t xml:space="preserve"> -  </w:t>
      </w:r>
    </w:p>
    <w:p w:rsidR="001948C1" w:rsidRPr="000035B2" w:rsidRDefault="001948C1" w:rsidP="001948C1">
      <w:pPr>
        <w:jc w:val="center"/>
        <w:rPr>
          <w:b/>
          <w:u w:val="single"/>
        </w:rPr>
      </w:pPr>
      <w:r w:rsidRPr="000035B2">
        <w:rPr>
          <w:b/>
          <w:u w:val="single"/>
        </w:rPr>
        <w:t>Local Govern</w:t>
      </w:r>
      <w:r>
        <w:rPr>
          <w:b/>
          <w:u w:val="single"/>
        </w:rPr>
        <w:t>ment</w:t>
      </w:r>
      <w:r w:rsidRPr="000035B2">
        <w:rPr>
          <w:b/>
          <w:u w:val="single"/>
        </w:rPr>
        <w:t xml:space="preserve"> Legislative Reform in British Columbia: </w:t>
      </w:r>
    </w:p>
    <w:p w:rsidR="001948C1" w:rsidRPr="000035B2" w:rsidRDefault="001948C1" w:rsidP="001948C1">
      <w:pPr>
        <w:jc w:val="center"/>
        <w:rPr>
          <w:b/>
          <w:u w:val="single"/>
        </w:rPr>
      </w:pPr>
      <w:r>
        <w:rPr>
          <w:b/>
          <w:u w:val="single"/>
        </w:rPr>
        <w:t xml:space="preserve">The Gordon Campbell Decade, </w:t>
      </w:r>
      <w:r w:rsidRPr="000035B2">
        <w:rPr>
          <w:b/>
          <w:u w:val="single"/>
        </w:rPr>
        <w:t xml:space="preserve">2001-2011 </w:t>
      </w:r>
    </w:p>
    <w:p w:rsidR="001948C1" w:rsidRDefault="001948C1" w:rsidP="001948C1">
      <w:pPr>
        <w:jc w:val="center"/>
        <w:rPr>
          <w:b/>
          <w:sz w:val="16"/>
          <w:szCs w:val="16"/>
        </w:rPr>
      </w:pPr>
    </w:p>
    <w:p w:rsidR="001948C1" w:rsidRPr="0030034C" w:rsidRDefault="001948C1" w:rsidP="001948C1">
      <w:pPr>
        <w:jc w:val="center"/>
        <w:rPr>
          <w:b/>
          <w:sz w:val="16"/>
          <w:szCs w:val="16"/>
        </w:rPr>
      </w:pPr>
      <w:r>
        <w:rPr>
          <w:b/>
          <w:sz w:val="16"/>
          <w:szCs w:val="16"/>
        </w:rPr>
        <w:t>b</w:t>
      </w:r>
      <w:r w:rsidRPr="00193842">
        <w:rPr>
          <w:b/>
          <w:sz w:val="16"/>
          <w:szCs w:val="16"/>
        </w:rPr>
        <w:t>y</w:t>
      </w:r>
    </w:p>
    <w:p w:rsidR="001948C1" w:rsidRDefault="001948C1" w:rsidP="001948C1">
      <w:pPr>
        <w:jc w:val="center"/>
        <w:rPr>
          <w:b/>
        </w:rPr>
      </w:pPr>
      <w:r>
        <w:rPr>
          <w:b/>
        </w:rPr>
        <w:t>Patrick J. Smith</w:t>
      </w:r>
    </w:p>
    <w:p w:rsidR="001948C1" w:rsidRDefault="001948C1" w:rsidP="001948C1">
      <w:pPr>
        <w:jc w:val="center"/>
        <w:rPr>
          <w:b/>
          <w:sz w:val="20"/>
          <w:szCs w:val="20"/>
        </w:rPr>
      </w:pPr>
      <w:r>
        <w:rPr>
          <w:b/>
          <w:sz w:val="20"/>
          <w:szCs w:val="20"/>
        </w:rPr>
        <w:t>Institute of Governance Studies</w:t>
      </w:r>
    </w:p>
    <w:p w:rsidR="001948C1" w:rsidRDefault="001948C1" w:rsidP="001948C1">
      <w:pPr>
        <w:jc w:val="center"/>
        <w:rPr>
          <w:b/>
          <w:sz w:val="20"/>
          <w:szCs w:val="20"/>
        </w:rPr>
      </w:pPr>
      <w:r w:rsidRPr="00193842">
        <w:rPr>
          <w:b/>
          <w:sz w:val="20"/>
          <w:szCs w:val="20"/>
        </w:rPr>
        <w:t>Simon Fraser University</w:t>
      </w:r>
    </w:p>
    <w:p w:rsidR="001948C1" w:rsidRDefault="000C0612" w:rsidP="001948C1">
      <w:pPr>
        <w:jc w:val="center"/>
        <w:rPr>
          <w:b/>
          <w:i/>
          <w:sz w:val="20"/>
          <w:szCs w:val="20"/>
        </w:rPr>
      </w:pPr>
      <w:hyperlink r:id="rId9" w:history="1">
        <w:r w:rsidR="001948C1" w:rsidRPr="00A614C7">
          <w:rPr>
            <w:rStyle w:val="Hyperlink"/>
            <w:rFonts w:eastAsiaTheme="majorEastAsia"/>
            <w:i/>
            <w:sz w:val="20"/>
            <w:szCs w:val="20"/>
          </w:rPr>
          <w:t>psmith@sfu.ca</w:t>
        </w:r>
      </w:hyperlink>
    </w:p>
    <w:p w:rsidR="001948C1" w:rsidRPr="00AB7A4F" w:rsidRDefault="001948C1" w:rsidP="001948C1">
      <w:pPr>
        <w:spacing w:line="360" w:lineRule="auto"/>
        <w:jc w:val="both"/>
        <w:rPr>
          <w:b/>
          <w:i/>
          <w:sz w:val="18"/>
          <w:szCs w:val="18"/>
        </w:rPr>
      </w:pPr>
    </w:p>
    <w:p w:rsidR="001948C1" w:rsidRPr="00193842" w:rsidRDefault="001948C1" w:rsidP="001948C1">
      <w:pPr>
        <w:jc w:val="both"/>
        <w:rPr>
          <w:b/>
          <w:sz w:val="16"/>
          <w:szCs w:val="16"/>
        </w:rPr>
      </w:pPr>
      <w:r w:rsidRPr="00193842">
        <w:rPr>
          <w:b/>
          <w:sz w:val="16"/>
          <w:szCs w:val="16"/>
        </w:rPr>
        <w:t>paper</w:t>
      </w:r>
      <w:r w:rsidR="00461528">
        <w:rPr>
          <w:b/>
          <w:sz w:val="16"/>
          <w:szCs w:val="16"/>
        </w:rPr>
        <w:t xml:space="preserve"> </w:t>
      </w:r>
      <w:r w:rsidRPr="00193842">
        <w:rPr>
          <w:b/>
          <w:sz w:val="16"/>
          <w:szCs w:val="16"/>
        </w:rPr>
        <w:t>for</w:t>
      </w:r>
      <w:r>
        <w:rPr>
          <w:b/>
          <w:sz w:val="16"/>
          <w:szCs w:val="16"/>
        </w:rPr>
        <w:t xml:space="preserve"> the</w:t>
      </w:r>
    </w:p>
    <w:p w:rsidR="001948C1" w:rsidRPr="00193842" w:rsidRDefault="001948C1" w:rsidP="001948C1">
      <w:pPr>
        <w:jc w:val="both"/>
        <w:rPr>
          <w:b/>
        </w:rPr>
      </w:pPr>
      <w:r>
        <w:rPr>
          <w:b/>
        </w:rPr>
        <w:t>British Columbia Political Studies Association</w:t>
      </w:r>
    </w:p>
    <w:p w:rsidR="001948C1" w:rsidRDefault="001948C1" w:rsidP="001948C1">
      <w:pPr>
        <w:pBdr>
          <w:bottom w:val="single" w:sz="12" w:space="1" w:color="auto"/>
        </w:pBdr>
        <w:jc w:val="both"/>
        <w:rPr>
          <w:b/>
          <w:sz w:val="20"/>
          <w:szCs w:val="20"/>
        </w:rPr>
      </w:pPr>
      <w:r>
        <w:rPr>
          <w:b/>
          <w:sz w:val="20"/>
          <w:szCs w:val="20"/>
        </w:rPr>
        <w:t xml:space="preserve">University of </w:t>
      </w:r>
      <w:r w:rsidR="00281652">
        <w:rPr>
          <w:b/>
          <w:sz w:val="20"/>
          <w:szCs w:val="20"/>
        </w:rPr>
        <w:t>B</w:t>
      </w:r>
      <w:r>
        <w:rPr>
          <w:b/>
          <w:sz w:val="20"/>
          <w:szCs w:val="20"/>
        </w:rPr>
        <w:t>ritish Columbia</w:t>
      </w:r>
    </w:p>
    <w:p w:rsidR="001948C1" w:rsidRDefault="001948C1" w:rsidP="001948C1">
      <w:pPr>
        <w:pBdr>
          <w:bottom w:val="single" w:sz="12" w:space="1" w:color="auto"/>
        </w:pBdr>
        <w:jc w:val="both"/>
        <w:rPr>
          <w:b/>
          <w:sz w:val="20"/>
          <w:szCs w:val="20"/>
        </w:rPr>
      </w:pPr>
      <w:r>
        <w:rPr>
          <w:b/>
          <w:sz w:val="20"/>
          <w:szCs w:val="20"/>
        </w:rPr>
        <w:t>Vancouver, British Columbia</w:t>
      </w:r>
    </w:p>
    <w:p w:rsidR="001948C1" w:rsidRDefault="001948C1" w:rsidP="001948C1">
      <w:pPr>
        <w:pBdr>
          <w:bottom w:val="single" w:sz="12" w:space="1" w:color="auto"/>
        </w:pBdr>
        <w:jc w:val="both"/>
        <w:rPr>
          <w:b/>
          <w:sz w:val="20"/>
          <w:szCs w:val="20"/>
        </w:rPr>
      </w:pPr>
      <w:r>
        <w:rPr>
          <w:b/>
          <w:sz w:val="20"/>
          <w:szCs w:val="20"/>
        </w:rPr>
        <w:t>May, 2013</w:t>
      </w:r>
    </w:p>
    <w:p w:rsidR="001948C1" w:rsidRDefault="001948C1" w:rsidP="00016E6B">
      <w:pPr>
        <w:spacing w:line="360" w:lineRule="auto"/>
        <w:jc w:val="both"/>
      </w:pPr>
      <w:r>
        <w:tab/>
        <w:t>In an early – first term - review of the Gordon Campbell legacy on local governing legislative reform in British Columbia, Smith and Stewart concluded that the best descriptor was “one oar in the water’</w:t>
      </w:r>
      <w:r>
        <w:rPr>
          <w:rStyle w:val="FootnoteReference"/>
          <w:rFonts w:eastAsiaTheme="majorEastAsia"/>
        </w:rPr>
        <w:footnoteReference w:id="1"/>
      </w:r>
      <w:r>
        <w:t xml:space="preserve"> – a lot of activity</w:t>
      </w:r>
      <w:r w:rsidR="00D07359">
        <w:t xml:space="preserve"> that</w:t>
      </w:r>
      <w:r>
        <w:t xml:space="preserve"> can produce very little by way of actual result with any impact on local democracy and governing.  And it is fair to say that </w:t>
      </w:r>
      <w:r w:rsidR="00567784">
        <w:t>Gordon</w:t>
      </w:r>
      <w:r>
        <w:t xml:space="preserve"> Campbell and his governments of 2001-5, 2005-9 and 2009-11 did undertake a good deal of legislative activity related to local governing: a new Community Charter, a major restructuring of the Vancouver city-region transportation authority, a Significant Projects Streamlining Act, completion of a 3</w:t>
      </w:r>
      <w:r w:rsidRPr="00F32CE5">
        <w:rPr>
          <w:vertAlign w:val="superscript"/>
        </w:rPr>
        <w:t>rd</w:t>
      </w:r>
      <w:r>
        <w:t xml:space="preserve"> rapid transit line (Vancouver-Richmond</w:t>
      </w:r>
      <w:r w:rsidR="00281652">
        <w:t>-</w:t>
      </w:r>
      <w:r>
        <w:t>Airport (RAV) and work to m</w:t>
      </w:r>
      <w:r w:rsidR="00C33AEB">
        <w:t>ove a fourth - Evergreen – line</w:t>
      </w:r>
      <w:r>
        <w:t xml:space="preserve">, and a local government elections task force amongst others. </w:t>
      </w:r>
    </w:p>
    <w:p w:rsidR="001948C1" w:rsidRDefault="001948C1" w:rsidP="00016E6B">
      <w:pPr>
        <w:spacing w:line="360" w:lineRule="auto"/>
        <w:jc w:val="both"/>
      </w:pPr>
      <w:r>
        <w:tab/>
        <w:t>So where are we in a new BC governing era, after this Campbell decade</w:t>
      </w:r>
      <w:r w:rsidR="00C33AEB">
        <w:t xml:space="preserve"> (and </w:t>
      </w:r>
      <w:r w:rsidR="00D07359">
        <w:t xml:space="preserve">Christy </w:t>
      </w:r>
      <w:r w:rsidR="00C33AEB">
        <w:t>Clark Interlude)</w:t>
      </w:r>
      <w:r>
        <w:t xml:space="preserve">? In strangely similar local governing legislative topography it would seem. That says something about lessons from the Campbell decade in BC regarding municipal reform. This review offers reflections on the </w:t>
      </w:r>
      <w:r w:rsidR="00D07359">
        <w:t xml:space="preserve">Gordon </w:t>
      </w:r>
      <w:r>
        <w:t xml:space="preserve">Campbell </w:t>
      </w:r>
      <w:r w:rsidR="00D07359">
        <w:t xml:space="preserve">‘municipal’ </w:t>
      </w:r>
      <w:r>
        <w:t xml:space="preserve">legacy – a decade of legislative activity, but one where major reform of BC’s local </w:t>
      </w:r>
      <w:r w:rsidR="004C2227">
        <w:t xml:space="preserve">and regional </w:t>
      </w:r>
      <w:r>
        <w:t xml:space="preserve">governing and democracy is still </w:t>
      </w:r>
      <w:r w:rsidR="004C2227">
        <w:t>largely</w:t>
      </w:r>
      <w:r>
        <w:t xml:space="preserve"> pending.</w:t>
      </w:r>
    </w:p>
    <w:p w:rsidR="001948C1" w:rsidRDefault="001948C1" w:rsidP="00016E6B">
      <w:pPr>
        <w:spacing w:line="360" w:lineRule="auto"/>
        <w:jc w:val="both"/>
        <w:rPr>
          <w:rFonts w:cs="Arial"/>
        </w:rPr>
      </w:pPr>
      <w:r>
        <w:tab/>
        <w:t xml:space="preserve">When compared with </w:t>
      </w:r>
      <w:r w:rsidR="004C2227">
        <w:t>immediately</w:t>
      </w:r>
      <w:r>
        <w:t xml:space="preserve"> previous NDP administrations of the 1990’s, Gordon Campbell’s Liberal administrations w</w:t>
      </w:r>
      <w:r w:rsidR="00016E6B">
        <w:t>ere</w:t>
      </w:r>
      <w:r>
        <w:t xml:space="preserve"> </w:t>
      </w:r>
      <w:r w:rsidR="000F61FD">
        <w:t>essentially</w:t>
      </w:r>
      <w:r>
        <w:t xml:space="preserve"> consistent with a provincial </w:t>
      </w:r>
      <w:r>
        <w:lastRenderedPageBreak/>
        <w:t>average</w:t>
      </w:r>
      <w:r w:rsidR="000F61FD">
        <w:t xml:space="preserve"> annually</w:t>
      </w:r>
      <w:r>
        <w:t xml:space="preserve"> of around 20% of provincial legislative actions affecting local governing, either centrally or more peripherally. </w:t>
      </w:r>
    </w:p>
    <w:p w:rsidR="001948C1" w:rsidRDefault="001948C1" w:rsidP="00016E6B">
      <w:pPr>
        <w:jc w:val="both"/>
      </w:pPr>
    </w:p>
    <w:p w:rsidR="001948C1" w:rsidRDefault="001948C1" w:rsidP="00016E6B">
      <w:pPr>
        <w:pStyle w:val="Caption"/>
        <w:tabs>
          <w:tab w:val="left" w:pos="5387"/>
        </w:tabs>
        <w:spacing w:after="0" w:line="480" w:lineRule="auto"/>
      </w:pPr>
      <w:r>
        <w:t>Table I: Acts Pertaining to Municipal Government, BC, 1991–201</w:t>
      </w:r>
      <w:r w:rsidR="00932790">
        <w:t>3</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86"/>
        <w:gridCol w:w="2266"/>
        <w:gridCol w:w="908"/>
        <w:gridCol w:w="1953"/>
        <w:gridCol w:w="733"/>
        <w:gridCol w:w="2097"/>
        <w:gridCol w:w="733"/>
      </w:tblGrid>
      <w:tr w:rsidR="001948C1" w:rsidTr="00281652">
        <w:trPr>
          <w:trHeight w:val="273"/>
          <w:jc w:val="center"/>
        </w:trPr>
        <w:tc>
          <w:tcPr>
            <w:tcW w:w="0" w:type="auto"/>
            <w:tcBorders>
              <w:top w:val="single" w:sz="6" w:space="0" w:color="auto"/>
              <w:left w:val="single" w:sz="6" w:space="0" w:color="auto"/>
              <w:bottom w:val="single" w:sz="6" w:space="0" w:color="auto"/>
              <w:right w:val="single" w:sz="6" w:space="0" w:color="auto"/>
            </w:tcBorders>
            <w:vAlign w:val="bottom"/>
          </w:tcPr>
          <w:p w:rsidR="001948C1" w:rsidRDefault="001948C1" w:rsidP="00016E6B">
            <w:pPr>
              <w:tabs>
                <w:tab w:val="left" w:pos="5387"/>
              </w:tabs>
              <w:spacing w:line="480" w:lineRule="auto"/>
              <w:jc w:val="both"/>
              <w:rPr>
                <w:rFonts w:ascii="Times New Roman" w:hAnsi="Times New Roman"/>
                <w:b/>
                <w:sz w:val="20"/>
              </w:rPr>
            </w:pPr>
            <w:r>
              <w:rPr>
                <w:rFonts w:ascii="Times New Roman" w:hAnsi="Times New Roman"/>
                <w:b/>
                <w:sz w:val="20"/>
              </w:rPr>
              <w:t>Years</w:t>
            </w:r>
          </w:p>
        </w:tc>
        <w:tc>
          <w:tcPr>
            <w:tcW w:w="0" w:type="auto"/>
            <w:tcBorders>
              <w:top w:val="single" w:sz="6" w:space="0" w:color="auto"/>
              <w:left w:val="single" w:sz="6" w:space="0" w:color="auto"/>
              <w:bottom w:val="single" w:sz="6" w:space="0" w:color="auto"/>
              <w:right w:val="single" w:sz="6" w:space="0" w:color="auto"/>
            </w:tcBorders>
            <w:vAlign w:val="bottom"/>
          </w:tcPr>
          <w:p w:rsidR="001948C1" w:rsidRDefault="001948C1" w:rsidP="00016E6B">
            <w:pPr>
              <w:pStyle w:val="Heading6"/>
              <w:tabs>
                <w:tab w:val="left" w:pos="5387"/>
              </w:tabs>
              <w:spacing w:line="480" w:lineRule="auto"/>
              <w:jc w:val="both"/>
              <w:rPr>
                <w:rFonts w:ascii="Times New Roman" w:hAnsi="Times New Roman"/>
              </w:rPr>
            </w:pPr>
            <w:r>
              <w:rPr>
                <w:rFonts w:ascii="Times New Roman" w:hAnsi="Times New Roman"/>
              </w:rPr>
              <w:t>Administration</w:t>
            </w:r>
          </w:p>
        </w:tc>
        <w:tc>
          <w:tcPr>
            <w:tcW w:w="0" w:type="auto"/>
            <w:tcBorders>
              <w:top w:val="single" w:sz="6" w:space="0" w:color="auto"/>
              <w:left w:val="single" w:sz="6" w:space="0" w:color="auto"/>
              <w:bottom w:val="single" w:sz="6" w:space="0" w:color="auto"/>
              <w:right w:val="single" w:sz="6" w:space="0" w:color="auto"/>
            </w:tcBorders>
            <w:vAlign w:val="bottom"/>
          </w:tcPr>
          <w:p w:rsidR="001948C1" w:rsidRDefault="001948C1" w:rsidP="00016E6B">
            <w:pPr>
              <w:tabs>
                <w:tab w:val="left" w:pos="5387"/>
              </w:tabs>
              <w:spacing w:line="480" w:lineRule="auto"/>
              <w:jc w:val="both"/>
              <w:rPr>
                <w:rFonts w:ascii="Times New Roman" w:hAnsi="Times New Roman"/>
                <w:b/>
                <w:sz w:val="20"/>
              </w:rPr>
            </w:pPr>
            <w:r>
              <w:rPr>
                <w:rFonts w:ascii="Times New Roman" w:hAnsi="Times New Roman"/>
                <w:b/>
                <w:sz w:val="20"/>
              </w:rPr>
              <w:t>Total Acts</w:t>
            </w:r>
          </w:p>
        </w:tc>
        <w:tc>
          <w:tcPr>
            <w:tcW w:w="0" w:type="auto"/>
            <w:tcBorders>
              <w:top w:val="single" w:sz="6" w:space="0" w:color="auto"/>
              <w:left w:val="single" w:sz="6" w:space="0" w:color="auto"/>
              <w:bottom w:val="single" w:sz="6" w:space="0" w:color="auto"/>
              <w:right w:val="single" w:sz="6" w:space="0" w:color="auto"/>
            </w:tcBorders>
            <w:vAlign w:val="bottom"/>
          </w:tcPr>
          <w:p w:rsidR="001948C1" w:rsidRDefault="001948C1" w:rsidP="00016E6B">
            <w:pPr>
              <w:tabs>
                <w:tab w:val="left" w:pos="5387"/>
              </w:tabs>
              <w:spacing w:line="480" w:lineRule="auto"/>
              <w:jc w:val="both"/>
              <w:rPr>
                <w:rFonts w:ascii="Times New Roman" w:hAnsi="Times New Roman"/>
                <w:b/>
                <w:sz w:val="20"/>
              </w:rPr>
            </w:pPr>
            <w:r>
              <w:rPr>
                <w:rFonts w:ascii="Times New Roman" w:hAnsi="Times New Roman"/>
                <w:b/>
                <w:sz w:val="20"/>
              </w:rPr>
              <w:t>Primary Topic Municipal Reform</w:t>
            </w:r>
          </w:p>
        </w:tc>
        <w:tc>
          <w:tcPr>
            <w:tcW w:w="0" w:type="auto"/>
            <w:tcBorders>
              <w:top w:val="single" w:sz="6" w:space="0" w:color="auto"/>
              <w:left w:val="single" w:sz="6" w:space="0" w:color="auto"/>
              <w:bottom w:val="single" w:sz="6" w:space="0" w:color="auto"/>
              <w:right w:val="single" w:sz="6" w:space="0" w:color="auto"/>
            </w:tcBorders>
            <w:vAlign w:val="bottom"/>
          </w:tcPr>
          <w:p w:rsidR="001948C1" w:rsidRDefault="001948C1" w:rsidP="00016E6B">
            <w:pPr>
              <w:tabs>
                <w:tab w:val="left" w:pos="5387"/>
              </w:tabs>
              <w:spacing w:line="480" w:lineRule="auto"/>
              <w:jc w:val="both"/>
              <w:rPr>
                <w:rFonts w:ascii="Times New Roman" w:hAnsi="Times New Roman"/>
                <w:b/>
                <w:sz w:val="20"/>
              </w:rPr>
            </w:pPr>
            <w:r>
              <w:rPr>
                <w:rFonts w:ascii="Times New Roman" w:hAnsi="Times New Roman"/>
                <w:b/>
                <w:sz w:val="20"/>
              </w:rPr>
              <w:t>%</w:t>
            </w:r>
          </w:p>
        </w:tc>
        <w:tc>
          <w:tcPr>
            <w:tcW w:w="0" w:type="auto"/>
            <w:tcBorders>
              <w:top w:val="single" w:sz="6" w:space="0" w:color="auto"/>
              <w:left w:val="single" w:sz="6" w:space="0" w:color="auto"/>
              <w:bottom w:val="single" w:sz="6" w:space="0" w:color="auto"/>
              <w:right w:val="single" w:sz="6" w:space="0" w:color="auto"/>
            </w:tcBorders>
            <w:vAlign w:val="bottom"/>
          </w:tcPr>
          <w:p w:rsidR="001948C1" w:rsidRDefault="001948C1" w:rsidP="00016E6B">
            <w:pPr>
              <w:tabs>
                <w:tab w:val="left" w:pos="5387"/>
              </w:tabs>
              <w:spacing w:line="480" w:lineRule="auto"/>
              <w:jc w:val="both"/>
              <w:rPr>
                <w:rFonts w:ascii="Times New Roman" w:hAnsi="Times New Roman"/>
                <w:b/>
                <w:sz w:val="20"/>
              </w:rPr>
            </w:pPr>
            <w:r>
              <w:rPr>
                <w:rFonts w:ascii="Times New Roman" w:hAnsi="Times New Roman"/>
                <w:b/>
                <w:sz w:val="20"/>
              </w:rPr>
              <w:t>Municipal Reform of Some Relevance</w:t>
            </w:r>
          </w:p>
        </w:tc>
        <w:tc>
          <w:tcPr>
            <w:tcW w:w="0" w:type="auto"/>
            <w:tcBorders>
              <w:top w:val="single" w:sz="6" w:space="0" w:color="auto"/>
              <w:left w:val="single" w:sz="6" w:space="0" w:color="auto"/>
              <w:bottom w:val="single" w:sz="6" w:space="0" w:color="auto"/>
              <w:right w:val="single" w:sz="6" w:space="0" w:color="auto"/>
            </w:tcBorders>
            <w:vAlign w:val="bottom"/>
          </w:tcPr>
          <w:p w:rsidR="001948C1" w:rsidRDefault="001948C1" w:rsidP="00016E6B">
            <w:pPr>
              <w:tabs>
                <w:tab w:val="left" w:pos="5387"/>
              </w:tabs>
              <w:spacing w:line="480" w:lineRule="auto"/>
              <w:jc w:val="both"/>
              <w:rPr>
                <w:rFonts w:ascii="Times New Roman" w:hAnsi="Times New Roman"/>
                <w:b/>
                <w:sz w:val="20"/>
              </w:rPr>
            </w:pPr>
            <w:r>
              <w:rPr>
                <w:rFonts w:ascii="Times New Roman" w:hAnsi="Times New Roman"/>
                <w:b/>
                <w:sz w:val="20"/>
              </w:rPr>
              <w:t>%</w:t>
            </w:r>
          </w:p>
        </w:tc>
      </w:tr>
      <w:tr w:rsidR="001948C1" w:rsidTr="00281652">
        <w:trPr>
          <w:trHeight w:val="249"/>
          <w:jc w:val="center"/>
        </w:trPr>
        <w:tc>
          <w:tcPr>
            <w:tcW w:w="0" w:type="auto"/>
            <w:tcBorders>
              <w:top w:val="single" w:sz="6" w:space="0" w:color="auto"/>
              <w:left w:val="single" w:sz="6" w:space="0" w:color="auto"/>
              <w:bottom w:val="single" w:sz="6" w:space="0" w:color="auto"/>
              <w:right w:val="single" w:sz="6" w:space="0" w:color="auto"/>
            </w:tcBorders>
          </w:tcPr>
          <w:p w:rsidR="001948C1" w:rsidRDefault="001948C1" w:rsidP="00016E6B">
            <w:pPr>
              <w:tabs>
                <w:tab w:val="left" w:pos="5387"/>
              </w:tabs>
              <w:spacing w:line="480" w:lineRule="auto"/>
              <w:jc w:val="both"/>
              <w:rPr>
                <w:rFonts w:ascii="Times New Roman" w:hAnsi="Times New Roman"/>
                <w:sz w:val="20"/>
              </w:rPr>
            </w:pPr>
            <w:r>
              <w:rPr>
                <w:rFonts w:ascii="Times New Roman" w:hAnsi="Times New Roman"/>
                <w:sz w:val="20"/>
              </w:rPr>
              <w:t>1991–95</w:t>
            </w:r>
          </w:p>
        </w:tc>
        <w:tc>
          <w:tcPr>
            <w:tcW w:w="0" w:type="auto"/>
            <w:tcBorders>
              <w:top w:val="single" w:sz="6" w:space="0" w:color="auto"/>
              <w:left w:val="single" w:sz="6" w:space="0" w:color="auto"/>
              <w:bottom w:val="single" w:sz="6" w:space="0" w:color="auto"/>
              <w:right w:val="single" w:sz="6" w:space="0" w:color="auto"/>
            </w:tcBorders>
          </w:tcPr>
          <w:p w:rsidR="001948C1" w:rsidRDefault="001948C1" w:rsidP="00016E6B">
            <w:pPr>
              <w:tabs>
                <w:tab w:val="left" w:pos="5387"/>
              </w:tabs>
              <w:spacing w:line="480" w:lineRule="auto"/>
              <w:jc w:val="both"/>
              <w:rPr>
                <w:rFonts w:ascii="Times New Roman" w:hAnsi="Times New Roman"/>
                <w:sz w:val="20"/>
              </w:rPr>
            </w:pPr>
            <w:r>
              <w:rPr>
                <w:rFonts w:ascii="Times New Roman" w:hAnsi="Times New Roman"/>
                <w:sz w:val="20"/>
              </w:rPr>
              <w:t>Harcourt</w:t>
            </w:r>
          </w:p>
        </w:tc>
        <w:tc>
          <w:tcPr>
            <w:tcW w:w="0" w:type="auto"/>
            <w:tcBorders>
              <w:top w:val="single" w:sz="6" w:space="0" w:color="auto"/>
              <w:left w:val="single" w:sz="6" w:space="0" w:color="auto"/>
              <w:bottom w:val="single" w:sz="6" w:space="0" w:color="auto"/>
              <w:right w:val="single" w:sz="6" w:space="0" w:color="auto"/>
            </w:tcBorders>
          </w:tcPr>
          <w:p w:rsidR="001948C1" w:rsidRDefault="001948C1" w:rsidP="00016E6B">
            <w:pPr>
              <w:tabs>
                <w:tab w:val="left" w:pos="5387"/>
              </w:tabs>
              <w:spacing w:line="480" w:lineRule="auto"/>
              <w:jc w:val="both"/>
              <w:rPr>
                <w:rFonts w:ascii="Times New Roman" w:hAnsi="Times New Roman"/>
                <w:sz w:val="20"/>
              </w:rPr>
            </w:pPr>
            <w:r>
              <w:rPr>
                <w:rFonts w:ascii="Times New Roman" w:hAnsi="Times New Roman"/>
                <w:sz w:val="20"/>
              </w:rPr>
              <w:t>281</w:t>
            </w:r>
          </w:p>
        </w:tc>
        <w:tc>
          <w:tcPr>
            <w:tcW w:w="0" w:type="auto"/>
            <w:tcBorders>
              <w:top w:val="single" w:sz="6" w:space="0" w:color="auto"/>
              <w:left w:val="single" w:sz="6" w:space="0" w:color="auto"/>
              <w:bottom w:val="single" w:sz="6" w:space="0" w:color="auto"/>
              <w:right w:val="single" w:sz="6" w:space="0" w:color="auto"/>
            </w:tcBorders>
          </w:tcPr>
          <w:p w:rsidR="001948C1" w:rsidRDefault="001948C1" w:rsidP="00016E6B">
            <w:pPr>
              <w:tabs>
                <w:tab w:val="left" w:pos="5387"/>
              </w:tabs>
              <w:spacing w:line="480" w:lineRule="auto"/>
              <w:jc w:val="both"/>
              <w:rPr>
                <w:rFonts w:ascii="Times New Roman" w:hAnsi="Times New Roman"/>
                <w:sz w:val="20"/>
              </w:rPr>
            </w:pPr>
            <w:r>
              <w:rPr>
                <w:rFonts w:ascii="Times New Roman" w:hAnsi="Times New Roman"/>
                <w:sz w:val="20"/>
              </w:rPr>
              <w:t>21</w:t>
            </w:r>
          </w:p>
        </w:tc>
        <w:tc>
          <w:tcPr>
            <w:tcW w:w="0" w:type="auto"/>
            <w:tcBorders>
              <w:top w:val="single" w:sz="6" w:space="0" w:color="auto"/>
              <w:left w:val="single" w:sz="6" w:space="0" w:color="auto"/>
              <w:bottom w:val="single" w:sz="6" w:space="0" w:color="auto"/>
              <w:right w:val="single" w:sz="6" w:space="0" w:color="auto"/>
            </w:tcBorders>
          </w:tcPr>
          <w:p w:rsidR="001948C1" w:rsidRDefault="001948C1" w:rsidP="00016E6B">
            <w:pPr>
              <w:tabs>
                <w:tab w:val="left" w:pos="5387"/>
              </w:tabs>
              <w:spacing w:line="480" w:lineRule="auto"/>
              <w:jc w:val="both"/>
              <w:rPr>
                <w:rFonts w:ascii="Times New Roman" w:hAnsi="Times New Roman"/>
                <w:sz w:val="20"/>
              </w:rPr>
            </w:pPr>
            <w:r>
              <w:rPr>
                <w:rFonts w:ascii="Times New Roman" w:hAnsi="Times New Roman"/>
                <w:sz w:val="20"/>
              </w:rPr>
              <w:t>7.58%</w:t>
            </w:r>
          </w:p>
        </w:tc>
        <w:tc>
          <w:tcPr>
            <w:tcW w:w="0" w:type="auto"/>
            <w:tcBorders>
              <w:top w:val="single" w:sz="6" w:space="0" w:color="auto"/>
              <w:left w:val="single" w:sz="6" w:space="0" w:color="auto"/>
              <w:bottom w:val="single" w:sz="6" w:space="0" w:color="auto"/>
              <w:right w:val="single" w:sz="6" w:space="0" w:color="auto"/>
            </w:tcBorders>
          </w:tcPr>
          <w:p w:rsidR="001948C1" w:rsidRDefault="001948C1" w:rsidP="00016E6B">
            <w:pPr>
              <w:tabs>
                <w:tab w:val="left" w:pos="5387"/>
              </w:tabs>
              <w:spacing w:line="480" w:lineRule="auto"/>
              <w:jc w:val="both"/>
              <w:rPr>
                <w:rFonts w:ascii="Times New Roman" w:hAnsi="Times New Roman"/>
                <w:sz w:val="20"/>
              </w:rPr>
            </w:pPr>
            <w:r>
              <w:rPr>
                <w:rFonts w:ascii="Times New Roman" w:hAnsi="Times New Roman"/>
                <w:sz w:val="20"/>
              </w:rPr>
              <w:t>36</w:t>
            </w:r>
          </w:p>
        </w:tc>
        <w:tc>
          <w:tcPr>
            <w:tcW w:w="0" w:type="auto"/>
            <w:tcBorders>
              <w:top w:val="single" w:sz="6" w:space="0" w:color="auto"/>
              <w:left w:val="single" w:sz="6" w:space="0" w:color="auto"/>
              <w:bottom w:val="single" w:sz="6" w:space="0" w:color="auto"/>
              <w:right w:val="single" w:sz="6" w:space="0" w:color="auto"/>
            </w:tcBorders>
          </w:tcPr>
          <w:p w:rsidR="001948C1" w:rsidRDefault="001948C1" w:rsidP="00016E6B">
            <w:pPr>
              <w:tabs>
                <w:tab w:val="left" w:pos="5387"/>
              </w:tabs>
              <w:spacing w:line="480" w:lineRule="auto"/>
              <w:jc w:val="both"/>
              <w:rPr>
                <w:rFonts w:ascii="Times New Roman" w:hAnsi="Times New Roman"/>
                <w:sz w:val="20"/>
              </w:rPr>
            </w:pPr>
            <w:r>
              <w:rPr>
                <w:rFonts w:ascii="Times New Roman" w:hAnsi="Times New Roman"/>
                <w:sz w:val="20"/>
              </w:rPr>
              <w:t>12.8%</w:t>
            </w:r>
          </w:p>
        </w:tc>
      </w:tr>
      <w:tr w:rsidR="001948C1" w:rsidTr="00281652">
        <w:trPr>
          <w:trHeight w:val="249"/>
          <w:jc w:val="center"/>
        </w:trPr>
        <w:tc>
          <w:tcPr>
            <w:tcW w:w="0" w:type="auto"/>
            <w:tcBorders>
              <w:top w:val="single" w:sz="6" w:space="0" w:color="auto"/>
              <w:left w:val="single" w:sz="6" w:space="0" w:color="auto"/>
              <w:bottom w:val="single" w:sz="6" w:space="0" w:color="auto"/>
              <w:right w:val="single" w:sz="6" w:space="0" w:color="auto"/>
            </w:tcBorders>
          </w:tcPr>
          <w:p w:rsidR="001948C1" w:rsidRDefault="001948C1" w:rsidP="00016E6B">
            <w:pPr>
              <w:tabs>
                <w:tab w:val="left" w:pos="5387"/>
              </w:tabs>
              <w:spacing w:line="480" w:lineRule="auto"/>
              <w:jc w:val="both"/>
              <w:rPr>
                <w:rFonts w:ascii="Times New Roman" w:hAnsi="Times New Roman"/>
                <w:sz w:val="20"/>
              </w:rPr>
            </w:pPr>
            <w:r>
              <w:rPr>
                <w:rFonts w:ascii="Times New Roman" w:hAnsi="Times New Roman"/>
                <w:sz w:val="20"/>
              </w:rPr>
              <w:t>1996–01</w:t>
            </w:r>
          </w:p>
        </w:tc>
        <w:tc>
          <w:tcPr>
            <w:tcW w:w="0" w:type="auto"/>
            <w:tcBorders>
              <w:top w:val="single" w:sz="6" w:space="0" w:color="auto"/>
              <w:left w:val="single" w:sz="6" w:space="0" w:color="auto"/>
              <w:bottom w:val="single" w:sz="6" w:space="0" w:color="auto"/>
              <w:right w:val="single" w:sz="6" w:space="0" w:color="auto"/>
            </w:tcBorders>
          </w:tcPr>
          <w:p w:rsidR="001948C1" w:rsidRDefault="00932790" w:rsidP="00016E6B">
            <w:pPr>
              <w:tabs>
                <w:tab w:val="left" w:pos="5387"/>
              </w:tabs>
              <w:spacing w:line="480" w:lineRule="auto"/>
              <w:jc w:val="both"/>
              <w:rPr>
                <w:rFonts w:ascii="Times New Roman" w:hAnsi="Times New Roman"/>
                <w:sz w:val="20"/>
              </w:rPr>
            </w:pPr>
            <w:r>
              <w:rPr>
                <w:rFonts w:ascii="Times New Roman" w:hAnsi="Times New Roman"/>
                <w:sz w:val="20"/>
              </w:rPr>
              <w:t>G</w:t>
            </w:r>
            <w:r w:rsidR="00570298">
              <w:rPr>
                <w:rFonts w:ascii="Times New Roman" w:hAnsi="Times New Roman"/>
                <w:sz w:val="20"/>
              </w:rPr>
              <w:t>.</w:t>
            </w:r>
            <w:r w:rsidR="001948C1">
              <w:rPr>
                <w:rFonts w:ascii="Times New Roman" w:hAnsi="Times New Roman"/>
                <w:sz w:val="20"/>
              </w:rPr>
              <w:t>Clark/Miller/Dosanjh</w:t>
            </w:r>
          </w:p>
        </w:tc>
        <w:tc>
          <w:tcPr>
            <w:tcW w:w="0" w:type="auto"/>
            <w:tcBorders>
              <w:top w:val="single" w:sz="6" w:space="0" w:color="auto"/>
              <w:left w:val="single" w:sz="6" w:space="0" w:color="auto"/>
              <w:bottom w:val="single" w:sz="6" w:space="0" w:color="auto"/>
              <w:right w:val="single" w:sz="6" w:space="0" w:color="auto"/>
            </w:tcBorders>
          </w:tcPr>
          <w:p w:rsidR="001948C1" w:rsidRDefault="001948C1" w:rsidP="00016E6B">
            <w:pPr>
              <w:tabs>
                <w:tab w:val="left" w:pos="5387"/>
              </w:tabs>
              <w:spacing w:line="480" w:lineRule="auto"/>
              <w:jc w:val="both"/>
              <w:rPr>
                <w:rFonts w:ascii="Times New Roman" w:hAnsi="Times New Roman"/>
                <w:sz w:val="20"/>
              </w:rPr>
            </w:pPr>
            <w:r>
              <w:rPr>
                <w:rFonts w:ascii="Times New Roman" w:hAnsi="Times New Roman"/>
                <w:sz w:val="20"/>
              </w:rPr>
              <w:t>243</w:t>
            </w:r>
          </w:p>
        </w:tc>
        <w:tc>
          <w:tcPr>
            <w:tcW w:w="0" w:type="auto"/>
            <w:tcBorders>
              <w:top w:val="single" w:sz="6" w:space="0" w:color="auto"/>
              <w:left w:val="single" w:sz="6" w:space="0" w:color="auto"/>
              <w:bottom w:val="single" w:sz="6" w:space="0" w:color="auto"/>
              <w:right w:val="single" w:sz="6" w:space="0" w:color="auto"/>
            </w:tcBorders>
          </w:tcPr>
          <w:p w:rsidR="001948C1" w:rsidRDefault="001948C1" w:rsidP="00016E6B">
            <w:pPr>
              <w:tabs>
                <w:tab w:val="left" w:pos="5387"/>
              </w:tabs>
              <w:spacing w:line="480" w:lineRule="auto"/>
              <w:jc w:val="both"/>
              <w:rPr>
                <w:rFonts w:ascii="Times New Roman" w:hAnsi="Times New Roman"/>
                <w:sz w:val="20"/>
              </w:rPr>
            </w:pPr>
            <w:r>
              <w:rPr>
                <w:rFonts w:ascii="Times New Roman" w:hAnsi="Times New Roman"/>
                <w:sz w:val="20"/>
              </w:rPr>
              <w:t>11</w:t>
            </w:r>
          </w:p>
        </w:tc>
        <w:tc>
          <w:tcPr>
            <w:tcW w:w="0" w:type="auto"/>
            <w:tcBorders>
              <w:top w:val="single" w:sz="6" w:space="0" w:color="auto"/>
              <w:left w:val="single" w:sz="6" w:space="0" w:color="auto"/>
              <w:bottom w:val="single" w:sz="6" w:space="0" w:color="auto"/>
              <w:right w:val="single" w:sz="6" w:space="0" w:color="auto"/>
            </w:tcBorders>
          </w:tcPr>
          <w:p w:rsidR="001948C1" w:rsidRDefault="001948C1" w:rsidP="00016E6B">
            <w:pPr>
              <w:tabs>
                <w:tab w:val="left" w:pos="5387"/>
              </w:tabs>
              <w:spacing w:line="480" w:lineRule="auto"/>
              <w:jc w:val="both"/>
              <w:rPr>
                <w:rFonts w:ascii="Times New Roman" w:hAnsi="Times New Roman"/>
                <w:sz w:val="20"/>
              </w:rPr>
            </w:pPr>
            <w:r>
              <w:rPr>
                <w:rFonts w:ascii="Times New Roman" w:hAnsi="Times New Roman"/>
                <w:sz w:val="20"/>
              </w:rPr>
              <w:t>4.5%</w:t>
            </w:r>
          </w:p>
        </w:tc>
        <w:tc>
          <w:tcPr>
            <w:tcW w:w="0" w:type="auto"/>
            <w:tcBorders>
              <w:top w:val="single" w:sz="6" w:space="0" w:color="auto"/>
              <w:left w:val="single" w:sz="6" w:space="0" w:color="auto"/>
              <w:bottom w:val="single" w:sz="6" w:space="0" w:color="auto"/>
              <w:right w:val="single" w:sz="6" w:space="0" w:color="auto"/>
            </w:tcBorders>
          </w:tcPr>
          <w:p w:rsidR="001948C1" w:rsidRDefault="001948C1" w:rsidP="00016E6B">
            <w:pPr>
              <w:tabs>
                <w:tab w:val="left" w:pos="5387"/>
              </w:tabs>
              <w:spacing w:line="480" w:lineRule="auto"/>
              <w:jc w:val="both"/>
              <w:rPr>
                <w:rFonts w:ascii="Times New Roman" w:hAnsi="Times New Roman"/>
                <w:sz w:val="20"/>
              </w:rPr>
            </w:pPr>
            <w:r>
              <w:rPr>
                <w:rFonts w:ascii="Times New Roman" w:hAnsi="Times New Roman"/>
                <w:sz w:val="20"/>
              </w:rPr>
              <w:t>33</w:t>
            </w:r>
          </w:p>
        </w:tc>
        <w:tc>
          <w:tcPr>
            <w:tcW w:w="0" w:type="auto"/>
            <w:tcBorders>
              <w:top w:val="single" w:sz="6" w:space="0" w:color="auto"/>
              <w:left w:val="single" w:sz="6" w:space="0" w:color="auto"/>
              <w:bottom w:val="single" w:sz="6" w:space="0" w:color="auto"/>
              <w:right w:val="single" w:sz="6" w:space="0" w:color="auto"/>
            </w:tcBorders>
          </w:tcPr>
          <w:p w:rsidR="001948C1" w:rsidRDefault="001948C1" w:rsidP="00016E6B">
            <w:pPr>
              <w:tabs>
                <w:tab w:val="left" w:pos="5387"/>
              </w:tabs>
              <w:spacing w:line="480" w:lineRule="auto"/>
              <w:jc w:val="both"/>
              <w:rPr>
                <w:rFonts w:ascii="Times New Roman" w:hAnsi="Times New Roman"/>
                <w:sz w:val="20"/>
              </w:rPr>
            </w:pPr>
            <w:r>
              <w:rPr>
                <w:rFonts w:ascii="Times New Roman" w:hAnsi="Times New Roman"/>
                <w:sz w:val="20"/>
              </w:rPr>
              <w:t>13.6%</w:t>
            </w:r>
          </w:p>
        </w:tc>
      </w:tr>
      <w:tr w:rsidR="001948C1" w:rsidTr="00281652">
        <w:trPr>
          <w:trHeight w:val="210"/>
          <w:jc w:val="center"/>
        </w:trPr>
        <w:tc>
          <w:tcPr>
            <w:tcW w:w="0" w:type="auto"/>
            <w:tcBorders>
              <w:top w:val="single" w:sz="6" w:space="0" w:color="auto"/>
              <w:left w:val="single" w:sz="6" w:space="0" w:color="auto"/>
              <w:bottom w:val="single" w:sz="6" w:space="0" w:color="auto"/>
              <w:right w:val="single" w:sz="6" w:space="0" w:color="auto"/>
            </w:tcBorders>
          </w:tcPr>
          <w:p w:rsidR="001948C1" w:rsidRDefault="001948C1" w:rsidP="00016E6B">
            <w:pPr>
              <w:tabs>
                <w:tab w:val="left" w:pos="5387"/>
              </w:tabs>
              <w:spacing w:line="480" w:lineRule="auto"/>
              <w:jc w:val="both"/>
              <w:rPr>
                <w:rFonts w:ascii="Times New Roman" w:hAnsi="Times New Roman"/>
                <w:sz w:val="20"/>
              </w:rPr>
            </w:pPr>
            <w:r>
              <w:rPr>
                <w:rFonts w:ascii="Times New Roman" w:hAnsi="Times New Roman"/>
                <w:sz w:val="20"/>
              </w:rPr>
              <w:t>2001–05</w:t>
            </w:r>
          </w:p>
        </w:tc>
        <w:tc>
          <w:tcPr>
            <w:tcW w:w="0" w:type="auto"/>
            <w:tcBorders>
              <w:top w:val="single" w:sz="6" w:space="0" w:color="auto"/>
              <w:left w:val="single" w:sz="6" w:space="0" w:color="auto"/>
              <w:bottom w:val="single" w:sz="6" w:space="0" w:color="auto"/>
              <w:right w:val="single" w:sz="6" w:space="0" w:color="auto"/>
            </w:tcBorders>
          </w:tcPr>
          <w:p w:rsidR="001948C1" w:rsidRDefault="001948C1" w:rsidP="00016E6B">
            <w:pPr>
              <w:tabs>
                <w:tab w:val="left" w:pos="5387"/>
              </w:tabs>
              <w:spacing w:line="480" w:lineRule="auto"/>
              <w:jc w:val="both"/>
              <w:rPr>
                <w:rFonts w:ascii="Times New Roman" w:hAnsi="Times New Roman"/>
                <w:sz w:val="20"/>
              </w:rPr>
            </w:pPr>
            <w:smartTag w:uri="urn:schemas-microsoft-com:office:smarttags" w:element="City">
              <w:smartTag w:uri="urn:schemas-microsoft-com:office:smarttags" w:element="place">
                <w:r>
                  <w:rPr>
                    <w:rFonts w:ascii="Times New Roman" w:hAnsi="Times New Roman"/>
                    <w:sz w:val="20"/>
                  </w:rPr>
                  <w:t>Campbell</w:t>
                </w:r>
              </w:smartTag>
            </w:smartTag>
          </w:p>
        </w:tc>
        <w:tc>
          <w:tcPr>
            <w:tcW w:w="0" w:type="auto"/>
            <w:tcBorders>
              <w:top w:val="single" w:sz="6" w:space="0" w:color="auto"/>
              <w:left w:val="single" w:sz="6" w:space="0" w:color="auto"/>
              <w:bottom w:val="single" w:sz="6" w:space="0" w:color="auto"/>
              <w:right w:val="single" w:sz="6" w:space="0" w:color="auto"/>
            </w:tcBorders>
          </w:tcPr>
          <w:p w:rsidR="001948C1" w:rsidRDefault="001948C1" w:rsidP="00016E6B">
            <w:pPr>
              <w:tabs>
                <w:tab w:val="left" w:pos="5387"/>
              </w:tabs>
              <w:spacing w:line="480" w:lineRule="auto"/>
              <w:jc w:val="both"/>
              <w:rPr>
                <w:rFonts w:ascii="Times New Roman" w:hAnsi="Times New Roman"/>
                <w:b/>
                <w:sz w:val="20"/>
              </w:rPr>
            </w:pPr>
            <w:r>
              <w:rPr>
                <w:rFonts w:ascii="Times New Roman" w:hAnsi="Times New Roman"/>
                <w:sz w:val="20"/>
              </w:rPr>
              <w:t>209</w:t>
            </w:r>
          </w:p>
        </w:tc>
        <w:tc>
          <w:tcPr>
            <w:tcW w:w="0" w:type="auto"/>
            <w:tcBorders>
              <w:top w:val="single" w:sz="6" w:space="0" w:color="auto"/>
              <w:left w:val="single" w:sz="6" w:space="0" w:color="auto"/>
              <w:bottom w:val="single" w:sz="6" w:space="0" w:color="auto"/>
              <w:right w:val="single" w:sz="6" w:space="0" w:color="auto"/>
            </w:tcBorders>
          </w:tcPr>
          <w:p w:rsidR="001948C1" w:rsidRDefault="001948C1" w:rsidP="00016E6B">
            <w:pPr>
              <w:tabs>
                <w:tab w:val="left" w:pos="5387"/>
              </w:tabs>
              <w:spacing w:line="480" w:lineRule="auto"/>
              <w:jc w:val="both"/>
              <w:rPr>
                <w:rFonts w:ascii="Times New Roman" w:hAnsi="Times New Roman"/>
                <w:sz w:val="20"/>
              </w:rPr>
            </w:pPr>
            <w:r>
              <w:rPr>
                <w:rFonts w:ascii="Times New Roman" w:hAnsi="Times New Roman"/>
                <w:sz w:val="20"/>
              </w:rPr>
              <w:t>7</w:t>
            </w:r>
          </w:p>
        </w:tc>
        <w:tc>
          <w:tcPr>
            <w:tcW w:w="0" w:type="auto"/>
            <w:tcBorders>
              <w:top w:val="single" w:sz="6" w:space="0" w:color="auto"/>
              <w:left w:val="single" w:sz="6" w:space="0" w:color="auto"/>
              <w:bottom w:val="single" w:sz="6" w:space="0" w:color="auto"/>
              <w:right w:val="single" w:sz="6" w:space="0" w:color="auto"/>
            </w:tcBorders>
          </w:tcPr>
          <w:p w:rsidR="001948C1" w:rsidRDefault="001948C1" w:rsidP="00016E6B">
            <w:pPr>
              <w:tabs>
                <w:tab w:val="left" w:pos="5387"/>
              </w:tabs>
              <w:spacing w:line="480" w:lineRule="auto"/>
              <w:jc w:val="both"/>
              <w:rPr>
                <w:rFonts w:ascii="Times New Roman" w:hAnsi="Times New Roman"/>
                <w:sz w:val="20"/>
              </w:rPr>
            </w:pPr>
            <w:r>
              <w:rPr>
                <w:rFonts w:ascii="Times New Roman" w:hAnsi="Times New Roman"/>
                <w:sz w:val="20"/>
              </w:rPr>
              <w:t>3.35%</w:t>
            </w:r>
          </w:p>
        </w:tc>
        <w:tc>
          <w:tcPr>
            <w:tcW w:w="0" w:type="auto"/>
            <w:tcBorders>
              <w:top w:val="single" w:sz="6" w:space="0" w:color="auto"/>
              <w:left w:val="single" w:sz="6" w:space="0" w:color="auto"/>
              <w:bottom w:val="single" w:sz="6" w:space="0" w:color="auto"/>
              <w:right w:val="single" w:sz="6" w:space="0" w:color="auto"/>
            </w:tcBorders>
          </w:tcPr>
          <w:p w:rsidR="001948C1" w:rsidRDefault="001948C1" w:rsidP="00016E6B">
            <w:pPr>
              <w:tabs>
                <w:tab w:val="left" w:pos="5387"/>
              </w:tabs>
              <w:spacing w:line="480" w:lineRule="auto"/>
              <w:jc w:val="both"/>
              <w:rPr>
                <w:rFonts w:ascii="Times New Roman" w:hAnsi="Times New Roman"/>
                <w:sz w:val="20"/>
              </w:rPr>
            </w:pPr>
            <w:r>
              <w:rPr>
                <w:rFonts w:ascii="Times New Roman" w:hAnsi="Times New Roman"/>
                <w:sz w:val="20"/>
              </w:rPr>
              <w:t>31</w:t>
            </w:r>
          </w:p>
        </w:tc>
        <w:tc>
          <w:tcPr>
            <w:tcW w:w="0" w:type="auto"/>
            <w:tcBorders>
              <w:top w:val="single" w:sz="6" w:space="0" w:color="auto"/>
              <w:left w:val="single" w:sz="6" w:space="0" w:color="auto"/>
              <w:bottom w:val="single" w:sz="6" w:space="0" w:color="auto"/>
              <w:right w:val="single" w:sz="6" w:space="0" w:color="auto"/>
            </w:tcBorders>
          </w:tcPr>
          <w:p w:rsidR="001948C1" w:rsidRDefault="001948C1" w:rsidP="00016E6B">
            <w:pPr>
              <w:tabs>
                <w:tab w:val="left" w:pos="5387"/>
              </w:tabs>
              <w:spacing w:line="480" w:lineRule="auto"/>
              <w:jc w:val="both"/>
              <w:rPr>
                <w:rFonts w:ascii="Times New Roman" w:hAnsi="Times New Roman"/>
                <w:sz w:val="20"/>
              </w:rPr>
            </w:pPr>
            <w:r>
              <w:rPr>
                <w:rFonts w:ascii="Times New Roman" w:hAnsi="Times New Roman"/>
                <w:sz w:val="20"/>
              </w:rPr>
              <w:t>14.8%</w:t>
            </w:r>
          </w:p>
        </w:tc>
      </w:tr>
      <w:tr w:rsidR="001948C1" w:rsidTr="00281652">
        <w:trPr>
          <w:trHeight w:val="237"/>
          <w:jc w:val="center"/>
        </w:trPr>
        <w:tc>
          <w:tcPr>
            <w:tcW w:w="0" w:type="auto"/>
            <w:tcBorders>
              <w:top w:val="single" w:sz="6" w:space="0" w:color="auto"/>
              <w:left w:val="single" w:sz="6" w:space="0" w:color="auto"/>
              <w:bottom w:val="single" w:sz="6" w:space="0" w:color="auto"/>
              <w:right w:val="single" w:sz="6" w:space="0" w:color="auto"/>
            </w:tcBorders>
          </w:tcPr>
          <w:p w:rsidR="001948C1" w:rsidRDefault="001948C1" w:rsidP="00016E6B">
            <w:pPr>
              <w:tabs>
                <w:tab w:val="left" w:pos="5387"/>
              </w:tabs>
              <w:spacing w:line="480" w:lineRule="auto"/>
              <w:jc w:val="both"/>
              <w:rPr>
                <w:rFonts w:ascii="Times New Roman" w:hAnsi="Times New Roman"/>
                <w:sz w:val="20"/>
              </w:rPr>
            </w:pPr>
            <w:r>
              <w:rPr>
                <w:rFonts w:ascii="Times New Roman" w:hAnsi="Times New Roman"/>
                <w:sz w:val="20"/>
              </w:rPr>
              <w:t>2005-09</w:t>
            </w:r>
          </w:p>
        </w:tc>
        <w:tc>
          <w:tcPr>
            <w:tcW w:w="0" w:type="auto"/>
            <w:tcBorders>
              <w:top w:val="single" w:sz="6" w:space="0" w:color="auto"/>
              <w:left w:val="single" w:sz="6" w:space="0" w:color="auto"/>
              <w:bottom w:val="single" w:sz="6" w:space="0" w:color="auto"/>
              <w:right w:val="single" w:sz="6" w:space="0" w:color="auto"/>
            </w:tcBorders>
          </w:tcPr>
          <w:p w:rsidR="001948C1" w:rsidRPr="0017239A" w:rsidRDefault="001948C1" w:rsidP="00016E6B">
            <w:pPr>
              <w:tabs>
                <w:tab w:val="left" w:pos="5387"/>
              </w:tabs>
              <w:spacing w:line="480" w:lineRule="auto"/>
              <w:jc w:val="both"/>
              <w:rPr>
                <w:rFonts w:ascii="Times New Roman" w:hAnsi="Times New Roman"/>
                <w:sz w:val="20"/>
              </w:rPr>
            </w:pPr>
            <w:r>
              <w:rPr>
                <w:rFonts w:ascii="Times New Roman" w:hAnsi="Times New Roman"/>
                <w:sz w:val="20"/>
              </w:rPr>
              <w:t>Campbell</w:t>
            </w:r>
          </w:p>
        </w:tc>
        <w:tc>
          <w:tcPr>
            <w:tcW w:w="0" w:type="auto"/>
            <w:tcBorders>
              <w:top w:val="single" w:sz="6" w:space="0" w:color="auto"/>
              <w:left w:val="single" w:sz="6" w:space="0" w:color="auto"/>
              <w:bottom w:val="single" w:sz="6" w:space="0" w:color="auto"/>
              <w:right w:val="single" w:sz="6" w:space="0" w:color="auto"/>
            </w:tcBorders>
          </w:tcPr>
          <w:p w:rsidR="001948C1" w:rsidRPr="0017239A" w:rsidRDefault="001948C1" w:rsidP="00016E6B">
            <w:pPr>
              <w:tabs>
                <w:tab w:val="left" w:pos="5387"/>
              </w:tabs>
              <w:spacing w:line="480" w:lineRule="auto"/>
              <w:jc w:val="both"/>
              <w:rPr>
                <w:rFonts w:ascii="Times New Roman" w:hAnsi="Times New Roman"/>
                <w:sz w:val="20"/>
              </w:rPr>
            </w:pPr>
            <w:r>
              <w:rPr>
                <w:rFonts w:ascii="Times New Roman" w:hAnsi="Times New Roman"/>
                <w:sz w:val="20"/>
              </w:rPr>
              <w:t>161</w:t>
            </w:r>
          </w:p>
        </w:tc>
        <w:tc>
          <w:tcPr>
            <w:tcW w:w="0" w:type="auto"/>
            <w:tcBorders>
              <w:top w:val="single" w:sz="6" w:space="0" w:color="auto"/>
              <w:left w:val="single" w:sz="6" w:space="0" w:color="auto"/>
              <w:bottom w:val="single" w:sz="6" w:space="0" w:color="auto"/>
              <w:right w:val="single" w:sz="6" w:space="0" w:color="auto"/>
            </w:tcBorders>
          </w:tcPr>
          <w:p w:rsidR="001948C1" w:rsidRPr="0017239A" w:rsidRDefault="00040BB2" w:rsidP="00016E6B">
            <w:pPr>
              <w:tabs>
                <w:tab w:val="left" w:pos="5387"/>
              </w:tabs>
              <w:spacing w:line="480" w:lineRule="auto"/>
              <w:jc w:val="both"/>
              <w:rPr>
                <w:rFonts w:ascii="Times New Roman" w:hAnsi="Times New Roman"/>
                <w:sz w:val="20"/>
              </w:rPr>
            </w:pPr>
            <w:r>
              <w:rPr>
                <w:rFonts w:ascii="Times New Roman" w:hAnsi="Times New Roman"/>
                <w:sz w:val="20"/>
              </w:rPr>
              <w:t>10</w:t>
            </w:r>
          </w:p>
        </w:tc>
        <w:tc>
          <w:tcPr>
            <w:tcW w:w="0" w:type="auto"/>
            <w:tcBorders>
              <w:top w:val="single" w:sz="6" w:space="0" w:color="auto"/>
              <w:left w:val="single" w:sz="6" w:space="0" w:color="auto"/>
              <w:bottom w:val="single" w:sz="6" w:space="0" w:color="auto"/>
              <w:right w:val="single" w:sz="6" w:space="0" w:color="auto"/>
            </w:tcBorders>
          </w:tcPr>
          <w:p w:rsidR="001948C1" w:rsidRPr="0017239A" w:rsidRDefault="00040BB2" w:rsidP="00016E6B">
            <w:pPr>
              <w:tabs>
                <w:tab w:val="left" w:pos="5387"/>
              </w:tabs>
              <w:spacing w:line="480" w:lineRule="auto"/>
              <w:jc w:val="both"/>
              <w:rPr>
                <w:rFonts w:ascii="Times New Roman" w:hAnsi="Times New Roman"/>
                <w:sz w:val="20"/>
              </w:rPr>
            </w:pPr>
            <w:r>
              <w:rPr>
                <w:rFonts w:ascii="Times New Roman" w:hAnsi="Times New Roman"/>
                <w:sz w:val="20"/>
              </w:rPr>
              <w:t>6.2%</w:t>
            </w:r>
          </w:p>
        </w:tc>
        <w:tc>
          <w:tcPr>
            <w:tcW w:w="0" w:type="auto"/>
            <w:tcBorders>
              <w:top w:val="single" w:sz="6" w:space="0" w:color="auto"/>
              <w:left w:val="single" w:sz="6" w:space="0" w:color="auto"/>
              <w:bottom w:val="single" w:sz="6" w:space="0" w:color="auto"/>
              <w:right w:val="single" w:sz="6" w:space="0" w:color="auto"/>
            </w:tcBorders>
          </w:tcPr>
          <w:p w:rsidR="001948C1" w:rsidRPr="0017239A" w:rsidRDefault="00040BB2" w:rsidP="00016E6B">
            <w:pPr>
              <w:tabs>
                <w:tab w:val="left" w:pos="5387"/>
              </w:tabs>
              <w:spacing w:line="480" w:lineRule="auto"/>
              <w:jc w:val="both"/>
              <w:rPr>
                <w:rFonts w:ascii="Times New Roman" w:hAnsi="Times New Roman"/>
                <w:sz w:val="20"/>
              </w:rPr>
            </w:pPr>
            <w:r>
              <w:rPr>
                <w:rFonts w:ascii="Times New Roman" w:hAnsi="Times New Roman"/>
                <w:sz w:val="20"/>
              </w:rPr>
              <w:t>45</w:t>
            </w:r>
          </w:p>
        </w:tc>
        <w:tc>
          <w:tcPr>
            <w:tcW w:w="0" w:type="auto"/>
            <w:tcBorders>
              <w:top w:val="single" w:sz="6" w:space="0" w:color="auto"/>
              <w:left w:val="single" w:sz="6" w:space="0" w:color="auto"/>
              <w:bottom w:val="single" w:sz="6" w:space="0" w:color="auto"/>
              <w:right w:val="single" w:sz="6" w:space="0" w:color="auto"/>
            </w:tcBorders>
          </w:tcPr>
          <w:p w:rsidR="001948C1" w:rsidRPr="0017239A" w:rsidRDefault="00040BB2" w:rsidP="00016E6B">
            <w:pPr>
              <w:tabs>
                <w:tab w:val="left" w:pos="5387"/>
              </w:tabs>
              <w:spacing w:line="480" w:lineRule="auto"/>
              <w:jc w:val="both"/>
              <w:rPr>
                <w:rFonts w:ascii="Times New Roman" w:hAnsi="Times New Roman"/>
                <w:sz w:val="20"/>
              </w:rPr>
            </w:pPr>
            <w:r>
              <w:rPr>
                <w:rFonts w:ascii="Times New Roman" w:hAnsi="Times New Roman"/>
                <w:sz w:val="20"/>
              </w:rPr>
              <w:t>27.9%</w:t>
            </w:r>
          </w:p>
        </w:tc>
      </w:tr>
      <w:tr w:rsidR="001948C1" w:rsidTr="00281652">
        <w:trPr>
          <w:trHeight w:val="237"/>
          <w:jc w:val="center"/>
        </w:trPr>
        <w:tc>
          <w:tcPr>
            <w:tcW w:w="0" w:type="auto"/>
            <w:tcBorders>
              <w:top w:val="single" w:sz="6" w:space="0" w:color="auto"/>
              <w:left w:val="single" w:sz="6" w:space="0" w:color="auto"/>
              <w:bottom w:val="single" w:sz="6" w:space="0" w:color="auto"/>
              <w:right w:val="single" w:sz="6" w:space="0" w:color="auto"/>
            </w:tcBorders>
          </w:tcPr>
          <w:p w:rsidR="001948C1" w:rsidRDefault="001948C1" w:rsidP="00016E6B">
            <w:pPr>
              <w:tabs>
                <w:tab w:val="left" w:pos="5387"/>
              </w:tabs>
              <w:spacing w:line="480" w:lineRule="auto"/>
              <w:jc w:val="both"/>
              <w:rPr>
                <w:rFonts w:ascii="Times New Roman" w:hAnsi="Times New Roman"/>
                <w:sz w:val="20"/>
              </w:rPr>
            </w:pPr>
            <w:r>
              <w:rPr>
                <w:rFonts w:ascii="Times New Roman" w:hAnsi="Times New Roman"/>
                <w:sz w:val="20"/>
              </w:rPr>
              <w:t>2009-11</w:t>
            </w:r>
          </w:p>
        </w:tc>
        <w:tc>
          <w:tcPr>
            <w:tcW w:w="0" w:type="auto"/>
            <w:tcBorders>
              <w:top w:val="single" w:sz="6" w:space="0" w:color="auto"/>
              <w:left w:val="single" w:sz="6" w:space="0" w:color="auto"/>
              <w:bottom w:val="single" w:sz="6" w:space="0" w:color="auto"/>
              <w:right w:val="single" w:sz="6" w:space="0" w:color="auto"/>
            </w:tcBorders>
          </w:tcPr>
          <w:p w:rsidR="001948C1" w:rsidRDefault="001948C1" w:rsidP="00016E6B">
            <w:pPr>
              <w:tabs>
                <w:tab w:val="left" w:pos="5387"/>
              </w:tabs>
              <w:spacing w:line="480" w:lineRule="auto"/>
              <w:jc w:val="both"/>
              <w:rPr>
                <w:rFonts w:ascii="Times New Roman" w:hAnsi="Times New Roman"/>
                <w:sz w:val="20"/>
              </w:rPr>
            </w:pPr>
            <w:r>
              <w:rPr>
                <w:rFonts w:ascii="Times New Roman" w:hAnsi="Times New Roman"/>
                <w:sz w:val="20"/>
              </w:rPr>
              <w:t>Campbell   /  0.5</w:t>
            </w:r>
          </w:p>
        </w:tc>
        <w:tc>
          <w:tcPr>
            <w:tcW w:w="0" w:type="auto"/>
            <w:tcBorders>
              <w:top w:val="single" w:sz="6" w:space="0" w:color="auto"/>
              <w:left w:val="single" w:sz="6" w:space="0" w:color="auto"/>
              <w:bottom w:val="single" w:sz="6" w:space="0" w:color="auto"/>
              <w:right w:val="single" w:sz="6" w:space="0" w:color="auto"/>
            </w:tcBorders>
          </w:tcPr>
          <w:p w:rsidR="001948C1" w:rsidRDefault="001948C1" w:rsidP="00016E6B">
            <w:pPr>
              <w:tabs>
                <w:tab w:val="left" w:pos="5387"/>
              </w:tabs>
              <w:spacing w:line="480" w:lineRule="auto"/>
              <w:jc w:val="both"/>
              <w:rPr>
                <w:rFonts w:ascii="Times New Roman" w:hAnsi="Times New Roman"/>
                <w:sz w:val="20"/>
              </w:rPr>
            </w:pPr>
            <w:r>
              <w:rPr>
                <w:rFonts w:ascii="Times New Roman" w:hAnsi="Times New Roman"/>
                <w:sz w:val="20"/>
              </w:rPr>
              <w:t>47</w:t>
            </w:r>
          </w:p>
        </w:tc>
        <w:tc>
          <w:tcPr>
            <w:tcW w:w="0" w:type="auto"/>
            <w:tcBorders>
              <w:top w:val="single" w:sz="6" w:space="0" w:color="auto"/>
              <w:left w:val="single" w:sz="6" w:space="0" w:color="auto"/>
              <w:bottom w:val="single" w:sz="6" w:space="0" w:color="auto"/>
              <w:right w:val="single" w:sz="6" w:space="0" w:color="auto"/>
            </w:tcBorders>
          </w:tcPr>
          <w:p w:rsidR="001948C1" w:rsidRDefault="001948C1" w:rsidP="00016E6B">
            <w:pPr>
              <w:tabs>
                <w:tab w:val="left" w:pos="5387"/>
              </w:tabs>
              <w:spacing w:line="480" w:lineRule="auto"/>
              <w:jc w:val="both"/>
              <w:rPr>
                <w:rFonts w:ascii="Times New Roman" w:hAnsi="Times New Roman"/>
                <w:sz w:val="20"/>
              </w:rPr>
            </w:pPr>
          </w:p>
        </w:tc>
        <w:tc>
          <w:tcPr>
            <w:tcW w:w="0" w:type="auto"/>
            <w:tcBorders>
              <w:top w:val="single" w:sz="6" w:space="0" w:color="auto"/>
              <w:left w:val="single" w:sz="6" w:space="0" w:color="auto"/>
              <w:bottom w:val="single" w:sz="6" w:space="0" w:color="auto"/>
              <w:right w:val="single" w:sz="6" w:space="0" w:color="auto"/>
            </w:tcBorders>
          </w:tcPr>
          <w:p w:rsidR="001948C1" w:rsidRDefault="001948C1" w:rsidP="00016E6B">
            <w:pPr>
              <w:tabs>
                <w:tab w:val="left" w:pos="5387"/>
              </w:tabs>
              <w:spacing w:line="480" w:lineRule="auto"/>
              <w:jc w:val="both"/>
              <w:rPr>
                <w:rFonts w:ascii="Times New Roman" w:hAnsi="Times New Roman"/>
                <w:sz w:val="20"/>
              </w:rPr>
            </w:pPr>
          </w:p>
        </w:tc>
        <w:tc>
          <w:tcPr>
            <w:tcW w:w="0" w:type="auto"/>
            <w:tcBorders>
              <w:top w:val="single" w:sz="6" w:space="0" w:color="auto"/>
              <w:left w:val="single" w:sz="6" w:space="0" w:color="auto"/>
              <w:bottom w:val="single" w:sz="6" w:space="0" w:color="auto"/>
              <w:right w:val="single" w:sz="6" w:space="0" w:color="auto"/>
            </w:tcBorders>
          </w:tcPr>
          <w:p w:rsidR="001948C1" w:rsidRDefault="001948C1" w:rsidP="00016E6B">
            <w:pPr>
              <w:tabs>
                <w:tab w:val="left" w:pos="5387"/>
              </w:tabs>
              <w:spacing w:line="480" w:lineRule="auto"/>
              <w:jc w:val="both"/>
              <w:rPr>
                <w:rFonts w:ascii="Times New Roman" w:hAnsi="Times New Roman"/>
                <w:sz w:val="20"/>
              </w:rPr>
            </w:pPr>
          </w:p>
        </w:tc>
        <w:tc>
          <w:tcPr>
            <w:tcW w:w="0" w:type="auto"/>
            <w:tcBorders>
              <w:top w:val="single" w:sz="6" w:space="0" w:color="auto"/>
              <w:left w:val="single" w:sz="6" w:space="0" w:color="auto"/>
              <w:bottom w:val="single" w:sz="6" w:space="0" w:color="auto"/>
              <w:right w:val="single" w:sz="6" w:space="0" w:color="auto"/>
            </w:tcBorders>
          </w:tcPr>
          <w:p w:rsidR="001948C1" w:rsidRDefault="001948C1" w:rsidP="00016E6B">
            <w:pPr>
              <w:tabs>
                <w:tab w:val="left" w:pos="5387"/>
              </w:tabs>
              <w:spacing w:line="480" w:lineRule="auto"/>
              <w:jc w:val="both"/>
              <w:rPr>
                <w:rFonts w:ascii="Times New Roman" w:hAnsi="Times New Roman"/>
                <w:sz w:val="20"/>
              </w:rPr>
            </w:pPr>
          </w:p>
        </w:tc>
      </w:tr>
      <w:tr w:rsidR="001948C1" w:rsidTr="00281652">
        <w:trPr>
          <w:trHeight w:val="237"/>
          <w:jc w:val="center"/>
        </w:trPr>
        <w:tc>
          <w:tcPr>
            <w:tcW w:w="0" w:type="auto"/>
            <w:tcBorders>
              <w:top w:val="single" w:sz="6" w:space="0" w:color="auto"/>
              <w:left w:val="single" w:sz="6" w:space="0" w:color="auto"/>
              <w:bottom w:val="single" w:sz="6" w:space="0" w:color="auto"/>
              <w:right w:val="single" w:sz="6" w:space="0" w:color="auto"/>
            </w:tcBorders>
          </w:tcPr>
          <w:p w:rsidR="001948C1" w:rsidRDefault="001948C1" w:rsidP="00016E6B">
            <w:pPr>
              <w:tabs>
                <w:tab w:val="left" w:pos="5387"/>
              </w:tabs>
              <w:spacing w:line="480" w:lineRule="auto"/>
              <w:jc w:val="both"/>
              <w:rPr>
                <w:rFonts w:ascii="Times New Roman" w:hAnsi="Times New Roman"/>
                <w:sz w:val="20"/>
              </w:rPr>
            </w:pPr>
            <w:r>
              <w:rPr>
                <w:rFonts w:ascii="Times New Roman" w:hAnsi="Times New Roman"/>
                <w:sz w:val="20"/>
              </w:rPr>
              <w:t>2011-1</w:t>
            </w:r>
            <w:r w:rsidR="00040BB2">
              <w:rPr>
                <w:rFonts w:ascii="Times New Roman" w:hAnsi="Times New Roman"/>
                <w:sz w:val="20"/>
              </w:rPr>
              <w:t>3</w:t>
            </w:r>
          </w:p>
        </w:tc>
        <w:tc>
          <w:tcPr>
            <w:tcW w:w="0" w:type="auto"/>
            <w:tcBorders>
              <w:top w:val="single" w:sz="6" w:space="0" w:color="auto"/>
              <w:left w:val="single" w:sz="6" w:space="0" w:color="auto"/>
              <w:bottom w:val="single" w:sz="6" w:space="0" w:color="auto"/>
              <w:right w:val="single" w:sz="6" w:space="0" w:color="auto"/>
            </w:tcBorders>
          </w:tcPr>
          <w:p w:rsidR="001948C1" w:rsidRDefault="00932790" w:rsidP="00016E6B">
            <w:pPr>
              <w:tabs>
                <w:tab w:val="left" w:pos="5387"/>
              </w:tabs>
              <w:spacing w:line="480" w:lineRule="auto"/>
              <w:jc w:val="both"/>
              <w:rPr>
                <w:rFonts w:ascii="Times New Roman" w:hAnsi="Times New Roman"/>
                <w:sz w:val="20"/>
              </w:rPr>
            </w:pPr>
            <w:r>
              <w:rPr>
                <w:rFonts w:ascii="Times New Roman" w:hAnsi="Times New Roman"/>
                <w:sz w:val="20"/>
              </w:rPr>
              <w:t xml:space="preserve">C. </w:t>
            </w:r>
            <w:r w:rsidR="001948C1">
              <w:rPr>
                <w:rFonts w:ascii="Times New Roman" w:hAnsi="Times New Roman"/>
                <w:sz w:val="20"/>
              </w:rPr>
              <w:t>Clark    /   0.5</w:t>
            </w:r>
          </w:p>
        </w:tc>
        <w:tc>
          <w:tcPr>
            <w:tcW w:w="0" w:type="auto"/>
            <w:tcBorders>
              <w:top w:val="single" w:sz="6" w:space="0" w:color="auto"/>
              <w:left w:val="single" w:sz="6" w:space="0" w:color="auto"/>
              <w:bottom w:val="single" w:sz="6" w:space="0" w:color="auto"/>
              <w:right w:val="single" w:sz="6" w:space="0" w:color="auto"/>
            </w:tcBorders>
          </w:tcPr>
          <w:p w:rsidR="001948C1" w:rsidRDefault="001948C1" w:rsidP="00016E6B">
            <w:pPr>
              <w:tabs>
                <w:tab w:val="left" w:pos="5387"/>
              </w:tabs>
              <w:spacing w:line="480" w:lineRule="auto"/>
              <w:jc w:val="both"/>
              <w:rPr>
                <w:rFonts w:ascii="Times New Roman" w:hAnsi="Times New Roman"/>
                <w:sz w:val="20"/>
              </w:rPr>
            </w:pPr>
            <w:r>
              <w:rPr>
                <w:rFonts w:ascii="Times New Roman" w:hAnsi="Times New Roman"/>
                <w:sz w:val="20"/>
              </w:rPr>
              <w:t>45+</w:t>
            </w:r>
          </w:p>
        </w:tc>
        <w:tc>
          <w:tcPr>
            <w:tcW w:w="0" w:type="auto"/>
            <w:tcBorders>
              <w:top w:val="single" w:sz="6" w:space="0" w:color="auto"/>
              <w:left w:val="single" w:sz="6" w:space="0" w:color="auto"/>
              <w:bottom w:val="single" w:sz="6" w:space="0" w:color="auto"/>
              <w:right w:val="single" w:sz="6" w:space="0" w:color="auto"/>
            </w:tcBorders>
          </w:tcPr>
          <w:p w:rsidR="001948C1" w:rsidRDefault="001948C1" w:rsidP="00016E6B">
            <w:pPr>
              <w:tabs>
                <w:tab w:val="left" w:pos="5387"/>
              </w:tabs>
              <w:spacing w:line="480" w:lineRule="auto"/>
              <w:jc w:val="both"/>
              <w:rPr>
                <w:rFonts w:ascii="Times New Roman" w:hAnsi="Times New Roman"/>
                <w:sz w:val="20"/>
              </w:rPr>
            </w:pPr>
          </w:p>
        </w:tc>
        <w:tc>
          <w:tcPr>
            <w:tcW w:w="0" w:type="auto"/>
            <w:tcBorders>
              <w:top w:val="single" w:sz="6" w:space="0" w:color="auto"/>
              <w:left w:val="single" w:sz="6" w:space="0" w:color="auto"/>
              <w:bottom w:val="single" w:sz="6" w:space="0" w:color="auto"/>
              <w:right w:val="single" w:sz="6" w:space="0" w:color="auto"/>
            </w:tcBorders>
          </w:tcPr>
          <w:p w:rsidR="001948C1" w:rsidRDefault="001948C1" w:rsidP="00016E6B">
            <w:pPr>
              <w:tabs>
                <w:tab w:val="left" w:pos="5387"/>
              </w:tabs>
              <w:spacing w:line="480" w:lineRule="auto"/>
              <w:jc w:val="both"/>
              <w:rPr>
                <w:rFonts w:ascii="Times New Roman" w:hAnsi="Times New Roman"/>
                <w:sz w:val="20"/>
              </w:rPr>
            </w:pPr>
          </w:p>
        </w:tc>
        <w:tc>
          <w:tcPr>
            <w:tcW w:w="0" w:type="auto"/>
            <w:tcBorders>
              <w:top w:val="single" w:sz="6" w:space="0" w:color="auto"/>
              <w:left w:val="single" w:sz="6" w:space="0" w:color="auto"/>
              <w:bottom w:val="single" w:sz="6" w:space="0" w:color="auto"/>
              <w:right w:val="single" w:sz="6" w:space="0" w:color="auto"/>
            </w:tcBorders>
          </w:tcPr>
          <w:p w:rsidR="001948C1" w:rsidRDefault="001948C1" w:rsidP="00016E6B">
            <w:pPr>
              <w:tabs>
                <w:tab w:val="left" w:pos="5387"/>
              </w:tabs>
              <w:spacing w:line="480" w:lineRule="auto"/>
              <w:jc w:val="both"/>
              <w:rPr>
                <w:rFonts w:ascii="Times New Roman" w:hAnsi="Times New Roman"/>
                <w:sz w:val="20"/>
              </w:rPr>
            </w:pPr>
          </w:p>
        </w:tc>
        <w:tc>
          <w:tcPr>
            <w:tcW w:w="0" w:type="auto"/>
            <w:tcBorders>
              <w:top w:val="single" w:sz="6" w:space="0" w:color="auto"/>
              <w:left w:val="single" w:sz="6" w:space="0" w:color="auto"/>
              <w:bottom w:val="single" w:sz="6" w:space="0" w:color="auto"/>
              <w:right w:val="single" w:sz="6" w:space="0" w:color="auto"/>
            </w:tcBorders>
          </w:tcPr>
          <w:p w:rsidR="001948C1" w:rsidRDefault="001948C1" w:rsidP="00016E6B">
            <w:pPr>
              <w:tabs>
                <w:tab w:val="left" w:pos="5387"/>
              </w:tabs>
              <w:spacing w:line="480" w:lineRule="auto"/>
              <w:jc w:val="both"/>
              <w:rPr>
                <w:rFonts w:ascii="Times New Roman" w:hAnsi="Times New Roman"/>
                <w:sz w:val="20"/>
              </w:rPr>
            </w:pPr>
          </w:p>
        </w:tc>
      </w:tr>
      <w:tr w:rsidR="001948C1" w:rsidTr="00281652">
        <w:trPr>
          <w:trHeight w:val="237"/>
          <w:jc w:val="center"/>
        </w:trPr>
        <w:tc>
          <w:tcPr>
            <w:tcW w:w="0" w:type="auto"/>
            <w:tcBorders>
              <w:top w:val="single" w:sz="6" w:space="0" w:color="auto"/>
              <w:left w:val="single" w:sz="6" w:space="0" w:color="auto"/>
              <w:bottom w:val="single" w:sz="6" w:space="0" w:color="auto"/>
              <w:right w:val="single" w:sz="6" w:space="0" w:color="auto"/>
            </w:tcBorders>
          </w:tcPr>
          <w:p w:rsidR="001948C1" w:rsidRDefault="001948C1" w:rsidP="00016E6B">
            <w:pPr>
              <w:tabs>
                <w:tab w:val="left" w:pos="5387"/>
              </w:tabs>
              <w:spacing w:line="480" w:lineRule="auto"/>
              <w:jc w:val="both"/>
              <w:rPr>
                <w:rFonts w:ascii="Times New Roman" w:hAnsi="Times New Roman"/>
                <w:sz w:val="20"/>
              </w:rPr>
            </w:pPr>
            <w:r>
              <w:rPr>
                <w:rFonts w:ascii="Times New Roman" w:hAnsi="Times New Roman"/>
                <w:sz w:val="20"/>
              </w:rPr>
              <w:t>2009-13</w:t>
            </w:r>
          </w:p>
        </w:tc>
        <w:tc>
          <w:tcPr>
            <w:tcW w:w="0" w:type="auto"/>
            <w:tcBorders>
              <w:top w:val="single" w:sz="6" w:space="0" w:color="auto"/>
              <w:left w:val="single" w:sz="6" w:space="0" w:color="auto"/>
              <w:bottom w:val="single" w:sz="6" w:space="0" w:color="auto"/>
              <w:right w:val="single" w:sz="6" w:space="0" w:color="auto"/>
            </w:tcBorders>
          </w:tcPr>
          <w:p w:rsidR="001948C1" w:rsidRDefault="001948C1" w:rsidP="00016E6B">
            <w:pPr>
              <w:tabs>
                <w:tab w:val="left" w:pos="5387"/>
              </w:tabs>
              <w:spacing w:line="480" w:lineRule="auto"/>
              <w:jc w:val="both"/>
              <w:rPr>
                <w:rFonts w:ascii="Times New Roman" w:hAnsi="Times New Roman"/>
                <w:sz w:val="20"/>
              </w:rPr>
            </w:pPr>
            <w:r>
              <w:rPr>
                <w:rFonts w:ascii="Times New Roman" w:hAnsi="Times New Roman"/>
                <w:sz w:val="20"/>
              </w:rPr>
              <w:t>Campbell - Clark combined</w:t>
            </w:r>
          </w:p>
        </w:tc>
        <w:tc>
          <w:tcPr>
            <w:tcW w:w="0" w:type="auto"/>
            <w:tcBorders>
              <w:top w:val="single" w:sz="6" w:space="0" w:color="auto"/>
              <w:left w:val="single" w:sz="6" w:space="0" w:color="auto"/>
              <w:bottom w:val="single" w:sz="6" w:space="0" w:color="auto"/>
              <w:right w:val="single" w:sz="6" w:space="0" w:color="auto"/>
            </w:tcBorders>
          </w:tcPr>
          <w:p w:rsidR="001948C1" w:rsidRDefault="001948C1" w:rsidP="00016E6B">
            <w:pPr>
              <w:tabs>
                <w:tab w:val="left" w:pos="5387"/>
              </w:tabs>
              <w:spacing w:line="480" w:lineRule="auto"/>
              <w:jc w:val="both"/>
              <w:rPr>
                <w:rFonts w:ascii="Times New Roman" w:hAnsi="Times New Roman"/>
                <w:sz w:val="20"/>
              </w:rPr>
            </w:pPr>
            <w:r>
              <w:rPr>
                <w:rFonts w:ascii="Times New Roman" w:hAnsi="Times New Roman"/>
                <w:sz w:val="20"/>
              </w:rPr>
              <w:t>+12-3+ 13-1</w:t>
            </w:r>
          </w:p>
        </w:tc>
        <w:tc>
          <w:tcPr>
            <w:tcW w:w="0" w:type="auto"/>
            <w:tcBorders>
              <w:top w:val="single" w:sz="6" w:space="0" w:color="auto"/>
              <w:left w:val="single" w:sz="6" w:space="0" w:color="auto"/>
              <w:bottom w:val="single" w:sz="6" w:space="0" w:color="auto"/>
              <w:right w:val="single" w:sz="6" w:space="0" w:color="auto"/>
            </w:tcBorders>
          </w:tcPr>
          <w:p w:rsidR="001948C1" w:rsidRDefault="001948C1" w:rsidP="00016E6B">
            <w:pPr>
              <w:tabs>
                <w:tab w:val="left" w:pos="5387"/>
              </w:tabs>
              <w:spacing w:line="480" w:lineRule="auto"/>
              <w:jc w:val="both"/>
              <w:rPr>
                <w:rFonts w:ascii="Times New Roman" w:hAnsi="Times New Roman"/>
                <w:sz w:val="20"/>
              </w:rPr>
            </w:pPr>
          </w:p>
        </w:tc>
        <w:tc>
          <w:tcPr>
            <w:tcW w:w="0" w:type="auto"/>
            <w:tcBorders>
              <w:top w:val="single" w:sz="6" w:space="0" w:color="auto"/>
              <w:left w:val="single" w:sz="6" w:space="0" w:color="auto"/>
              <w:bottom w:val="single" w:sz="6" w:space="0" w:color="auto"/>
              <w:right w:val="single" w:sz="6" w:space="0" w:color="auto"/>
            </w:tcBorders>
          </w:tcPr>
          <w:p w:rsidR="001948C1" w:rsidRDefault="001948C1" w:rsidP="00016E6B">
            <w:pPr>
              <w:tabs>
                <w:tab w:val="left" w:pos="5387"/>
              </w:tabs>
              <w:spacing w:line="480" w:lineRule="auto"/>
              <w:jc w:val="both"/>
              <w:rPr>
                <w:rFonts w:ascii="Times New Roman" w:hAnsi="Times New Roman"/>
                <w:sz w:val="20"/>
              </w:rPr>
            </w:pPr>
          </w:p>
        </w:tc>
        <w:tc>
          <w:tcPr>
            <w:tcW w:w="0" w:type="auto"/>
            <w:tcBorders>
              <w:top w:val="single" w:sz="6" w:space="0" w:color="auto"/>
              <w:left w:val="single" w:sz="6" w:space="0" w:color="auto"/>
              <w:bottom w:val="single" w:sz="6" w:space="0" w:color="auto"/>
              <w:right w:val="single" w:sz="6" w:space="0" w:color="auto"/>
            </w:tcBorders>
          </w:tcPr>
          <w:p w:rsidR="001948C1" w:rsidRDefault="001948C1" w:rsidP="00016E6B">
            <w:pPr>
              <w:tabs>
                <w:tab w:val="left" w:pos="5387"/>
              </w:tabs>
              <w:spacing w:line="480" w:lineRule="auto"/>
              <w:jc w:val="both"/>
              <w:rPr>
                <w:rFonts w:ascii="Times New Roman" w:hAnsi="Times New Roman"/>
                <w:sz w:val="20"/>
              </w:rPr>
            </w:pPr>
          </w:p>
        </w:tc>
        <w:tc>
          <w:tcPr>
            <w:tcW w:w="0" w:type="auto"/>
            <w:tcBorders>
              <w:top w:val="single" w:sz="6" w:space="0" w:color="auto"/>
              <w:left w:val="single" w:sz="6" w:space="0" w:color="auto"/>
              <w:bottom w:val="single" w:sz="6" w:space="0" w:color="auto"/>
              <w:right w:val="single" w:sz="6" w:space="0" w:color="auto"/>
            </w:tcBorders>
          </w:tcPr>
          <w:p w:rsidR="001948C1" w:rsidRDefault="001948C1" w:rsidP="00016E6B">
            <w:pPr>
              <w:tabs>
                <w:tab w:val="left" w:pos="5387"/>
              </w:tabs>
              <w:spacing w:line="480" w:lineRule="auto"/>
              <w:jc w:val="both"/>
              <w:rPr>
                <w:rFonts w:ascii="Times New Roman" w:hAnsi="Times New Roman"/>
                <w:sz w:val="20"/>
              </w:rPr>
            </w:pPr>
          </w:p>
        </w:tc>
      </w:tr>
      <w:tr w:rsidR="001948C1" w:rsidTr="00281652">
        <w:trPr>
          <w:trHeight w:val="237"/>
          <w:jc w:val="center"/>
        </w:trPr>
        <w:tc>
          <w:tcPr>
            <w:tcW w:w="0" w:type="auto"/>
            <w:tcBorders>
              <w:top w:val="single" w:sz="6" w:space="0" w:color="auto"/>
              <w:left w:val="single" w:sz="6" w:space="0" w:color="auto"/>
              <w:bottom w:val="single" w:sz="6" w:space="0" w:color="auto"/>
              <w:right w:val="single" w:sz="6" w:space="0" w:color="auto"/>
            </w:tcBorders>
          </w:tcPr>
          <w:p w:rsidR="001948C1" w:rsidRDefault="001948C1" w:rsidP="00016E6B">
            <w:pPr>
              <w:tabs>
                <w:tab w:val="left" w:pos="5387"/>
              </w:tabs>
              <w:spacing w:line="480" w:lineRule="auto"/>
              <w:jc w:val="both"/>
              <w:rPr>
                <w:rFonts w:ascii="Times New Roman" w:hAnsi="Times New Roman"/>
                <w:sz w:val="20"/>
              </w:rPr>
            </w:pPr>
            <w:r>
              <w:rPr>
                <w:rFonts w:ascii="Times New Roman" w:hAnsi="Times New Roman"/>
                <w:sz w:val="20"/>
              </w:rPr>
              <w:t>1991–2011</w:t>
            </w:r>
          </w:p>
        </w:tc>
        <w:tc>
          <w:tcPr>
            <w:tcW w:w="0" w:type="auto"/>
            <w:tcBorders>
              <w:top w:val="single" w:sz="6" w:space="0" w:color="auto"/>
              <w:left w:val="single" w:sz="6" w:space="0" w:color="auto"/>
              <w:bottom w:val="single" w:sz="6" w:space="0" w:color="auto"/>
              <w:right w:val="single" w:sz="6" w:space="0" w:color="auto"/>
            </w:tcBorders>
          </w:tcPr>
          <w:p w:rsidR="001948C1" w:rsidRPr="0017239A" w:rsidRDefault="001948C1" w:rsidP="00016E6B">
            <w:pPr>
              <w:tabs>
                <w:tab w:val="left" w:pos="5387"/>
              </w:tabs>
              <w:spacing w:line="480" w:lineRule="auto"/>
              <w:jc w:val="both"/>
              <w:rPr>
                <w:rFonts w:ascii="Times New Roman" w:hAnsi="Times New Roman"/>
                <w:sz w:val="20"/>
              </w:rPr>
            </w:pPr>
            <w:r>
              <w:rPr>
                <w:rFonts w:ascii="Times New Roman" w:hAnsi="Times New Roman"/>
                <w:sz w:val="20"/>
              </w:rPr>
              <w:t xml:space="preserve">   </w:t>
            </w:r>
            <w:r w:rsidRPr="0017239A">
              <w:rPr>
                <w:rFonts w:ascii="Times New Roman" w:hAnsi="Times New Roman"/>
                <w:sz w:val="20"/>
              </w:rPr>
              <w:t>Total</w:t>
            </w:r>
            <w:r>
              <w:rPr>
                <w:rFonts w:ascii="Times New Roman" w:hAnsi="Times New Roman"/>
                <w:sz w:val="20"/>
              </w:rPr>
              <w:t xml:space="preserve"> </w:t>
            </w:r>
          </w:p>
        </w:tc>
        <w:tc>
          <w:tcPr>
            <w:tcW w:w="0" w:type="auto"/>
            <w:tcBorders>
              <w:top w:val="single" w:sz="6" w:space="0" w:color="auto"/>
              <w:left w:val="single" w:sz="6" w:space="0" w:color="auto"/>
              <w:bottom w:val="single" w:sz="6" w:space="0" w:color="auto"/>
              <w:right w:val="single" w:sz="6" w:space="0" w:color="auto"/>
            </w:tcBorders>
          </w:tcPr>
          <w:p w:rsidR="001948C1" w:rsidRPr="0017239A" w:rsidRDefault="001948C1" w:rsidP="00016E6B">
            <w:pPr>
              <w:tabs>
                <w:tab w:val="left" w:pos="5387"/>
              </w:tabs>
              <w:spacing w:line="480" w:lineRule="auto"/>
              <w:jc w:val="both"/>
              <w:rPr>
                <w:rFonts w:ascii="Times New Roman" w:hAnsi="Times New Roman"/>
                <w:sz w:val="20"/>
              </w:rPr>
            </w:pPr>
            <w:r w:rsidRPr="0017239A">
              <w:rPr>
                <w:rFonts w:ascii="Times New Roman" w:hAnsi="Times New Roman"/>
                <w:sz w:val="20"/>
              </w:rPr>
              <w:t>733</w:t>
            </w:r>
          </w:p>
        </w:tc>
        <w:tc>
          <w:tcPr>
            <w:tcW w:w="0" w:type="auto"/>
            <w:tcBorders>
              <w:top w:val="single" w:sz="6" w:space="0" w:color="auto"/>
              <w:left w:val="single" w:sz="6" w:space="0" w:color="auto"/>
              <w:bottom w:val="single" w:sz="6" w:space="0" w:color="auto"/>
              <w:right w:val="single" w:sz="6" w:space="0" w:color="auto"/>
            </w:tcBorders>
          </w:tcPr>
          <w:p w:rsidR="001948C1" w:rsidRPr="0017239A" w:rsidRDefault="000F61FD" w:rsidP="00016E6B">
            <w:pPr>
              <w:tabs>
                <w:tab w:val="left" w:pos="5387"/>
              </w:tabs>
              <w:spacing w:line="480" w:lineRule="auto"/>
              <w:jc w:val="both"/>
              <w:rPr>
                <w:rFonts w:ascii="Times New Roman" w:hAnsi="Times New Roman"/>
                <w:sz w:val="20"/>
              </w:rPr>
            </w:pPr>
            <w:r>
              <w:rPr>
                <w:rFonts w:ascii="Times New Roman" w:hAnsi="Times New Roman"/>
                <w:sz w:val="20"/>
              </w:rPr>
              <w:t>48</w:t>
            </w:r>
          </w:p>
        </w:tc>
        <w:tc>
          <w:tcPr>
            <w:tcW w:w="0" w:type="auto"/>
            <w:tcBorders>
              <w:top w:val="single" w:sz="6" w:space="0" w:color="auto"/>
              <w:left w:val="single" w:sz="6" w:space="0" w:color="auto"/>
              <w:bottom w:val="single" w:sz="6" w:space="0" w:color="auto"/>
              <w:right w:val="single" w:sz="6" w:space="0" w:color="auto"/>
            </w:tcBorders>
          </w:tcPr>
          <w:p w:rsidR="001948C1" w:rsidRPr="0017239A" w:rsidRDefault="001948C1" w:rsidP="00016E6B">
            <w:pPr>
              <w:tabs>
                <w:tab w:val="left" w:pos="5387"/>
              </w:tabs>
              <w:spacing w:line="480" w:lineRule="auto"/>
              <w:jc w:val="both"/>
              <w:rPr>
                <w:rFonts w:ascii="Times New Roman" w:hAnsi="Times New Roman"/>
                <w:sz w:val="20"/>
              </w:rPr>
            </w:pPr>
            <w:r w:rsidRPr="0017239A">
              <w:rPr>
                <w:rFonts w:ascii="Times New Roman" w:hAnsi="Times New Roman"/>
                <w:sz w:val="20"/>
              </w:rPr>
              <w:t>5%</w:t>
            </w:r>
          </w:p>
        </w:tc>
        <w:tc>
          <w:tcPr>
            <w:tcW w:w="0" w:type="auto"/>
            <w:tcBorders>
              <w:top w:val="single" w:sz="6" w:space="0" w:color="auto"/>
              <w:left w:val="single" w:sz="6" w:space="0" w:color="auto"/>
              <w:bottom w:val="single" w:sz="6" w:space="0" w:color="auto"/>
              <w:right w:val="single" w:sz="6" w:space="0" w:color="auto"/>
            </w:tcBorders>
          </w:tcPr>
          <w:p w:rsidR="001948C1" w:rsidRPr="0017239A" w:rsidRDefault="000F61FD" w:rsidP="00016E6B">
            <w:pPr>
              <w:tabs>
                <w:tab w:val="left" w:pos="5387"/>
              </w:tabs>
              <w:spacing w:line="480" w:lineRule="auto"/>
              <w:jc w:val="both"/>
              <w:rPr>
                <w:rFonts w:ascii="Times New Roman" w:hAnsi="Times New Roman"/>
                <w:sz w:val="20"/>
              </w:rPr>
            </w:pPr>
            <w:r>
              <w:rPr>
                <w:rFonts w:ascii="Times New Roman" w:hAnsi="Times New Roman"/>
                <w:sz w:val="20"/>
              </w:rPr>
              <w:t>145</w:t>
            </w:r>
          </w:p>
        </w:tc>
        <w:tc>
          <w:tcPr>
            <w:tcW w:w="0" w:type="auto"/>
            <w:tcBorders>
              <w:top w:val="single" w:sz="6" w:space="0" w:color="auto"/>
              <w:left w:val="single" w:sz="6" w:space="0" w:color="auto"/>
              <w:bottom w:val="single" w:sz="6" w:space="0" w:color="auto"/>
              <w:right w:val="single" w:sz="6" w:space="0" w:color="auto"/>
            </w:tcBorders>
          </w:tcPr>
          <w:p w:rsidR="001948C1" w:rsidRPr="0017239A" w:rsidRDefault="001948C1" w:rsidP="00016E6B">
            <w:pPr>
              <w:tabs>
                <w:tab w:val="left" w:pos="5387"/>
              </w:tabs>
              <w:spacing w:line="480" w:lineRule="auto"/>
              <w:jc w:val="both"/>
              <w:rPr>
                <w:rFonts w:ascii="Times New Roman" w:hAnsi="Times New Roman"/>
                <w:sz w:val="20"/>
              </w:rPr>
            </w:pPr>
            <w:r w:rsidRPr="0017239A">
              <w:rPr>
                <w:rFonts w:ascii="Times New Roman" w:hAnsi="Times New Roman"/>
                <w:sz w:val="20"/>
              </w:rPr>
              <w:t>14%</w:t>
            </w:r>
          </w:p>
        </w:tc>
      </w:tr>
      <w:tr w:rsidR="001948C1" w:rsidTr="00281652">
        <w:trPr>
          <w:trHeight w:val="237"/>
          <w:jc w:val="center"/>
        </w:trPr>
        <w:tc>
          <w:tcPr>
            <w:tcW w:w="0" w:type="auto"/>
            <w:tcBorders>
              <w:top w:val="single" w:sz="6" w:space="0" w:color="auto"/>
              <w:left w:val="single" w:sz="6" w:space="0" w:color="auto"/>
              <w:bottom w:val="single" w:sz="6" w:space="0" w:color="auto"/>
              <w:right w:val="single" w:sz="6" w:space="0" w:color="auto"/>
            </w:tcBorders>
          </w:tcPr>
          <w:p w:rsidR="001948C1" w:rsidRDefault="001948C1" w:rsidP="00016E6B">
            <w:pPr>
              <w:tabs>
                <w:tab w:val="left" w:pos="5387"/>
              </w:tabs>
              <w:spacing w:line="480" w:lineRule="auto"/>
              <w:jc w:val="both"/>
              <w:rPr>
                <w:rFonts w:ascii="Times New Roman" w:hAnsi="Times New Roman"/>
                <w:sz w:val="20"/>
              </w:rPr>
            </w:pPr>
          </w:p>
        </w:tc>
        <w:tc>
          <w:tcPr>
            <w:tcW w:w="0" w:type="auto"/>
            <w:tcBorders>
              <w:top w:val="single" w:sz="6" w:space="0" w:color="auto"/>
              <w:left w:val="single" w:sz="6" w:space="0" w:color="auto"/>
              <w:bottom w:val="single" w:sz="6" w:space="0" w:color="auto"/>
              <w:right w:val="single" w:sz="6" w:space="0" w:color="auto"/>
            </w:tcBorders>
          </w:tcPr>
          <w:p w:rsidR="001948C1" w:rsidRDefault="001948C1" w:rsidP="00016E6B">
            <w:pPr>
              <w:tabs>
                <w:tab w:val="left" w:pos="5387"/>
              </w:tabs>
              <w:spacing w:line="480" w:lineRule="auto"/>
              <w:jc w:val="both"/>
              <w:rPr>
                <w:rFonts w:ascii="Times New Roman" w:hAnsi="Times New Roman"/>
                <w:sz w:val="20"/>
              </w:rPr>
            </w:pPr>
          </w:p>
        </w:tc>
        <w:tc>
          <w:tcPr>
            <w:tcW w:w="0" w:type="auto"/>
            <w:tcBorders>
              <w:top w:val="single" w:sz="6" w:space="0" w:color="auto"/>
              <w:left w:val="single" w:sz="6" w:space="0" w:color="auto"/>
              <w:bottom w:val="single" w:sz="6" w:space="0" w:color="auto"/>
              <w:right w:val="single" w:sz="6" w:space="0" w:color="auto"/>
            </w:tcBorders>
          </w:tcPr>
          <w:p w:rsidR="001948C1" w:rsidRDefault="001948C1" w:rsidP="00016E6B">
            <w:pPr>
              <w:tabs>
                <w:tab w:val="left" w:pos="5387"/>
              </w:tabs>
              <w:spacing w:line="480" w:lineRule="auto"/>
              <w:jc w:val="both"/>
              <w:rPr>
                <w:rFonts w:ascii="Times New Roman" w:hAnsi="Times New Roman"/>
                <w:sz w:val="20"/>
              </w:rPr>
            </w:pPr>
          </w:p>
        </w:tc>
        <w:tc>
          <w:tcPr>
            <w:tcW w:w="0" w:type="auto"/>
            <w:tcBorders>
              <w:top w:val="single" w:sz="6" w:space="0" w:color="auto"/>
              <w:left w:val="single" w:sz="6" w:space="0" w:color="auto"/>
              <w:bottom w:val="single" w:sz="6" w:space="0" w:color="auto"/>
              <w:right w:val="single" w:sz="6" w:space="0" w:color="auto"/>
            </w:tcBorders>
          </w:tcPr>
          <w:p w:rsidR="001948C1" w:rsidRDefault="001948C1" w:rsidP="00016E6B">
            <w:pPr>
              <w:tabs>
                <w:tab w:val="left" w:pos="5387"/>
              </w:tabs>
              <w:spacing w:line="480" w:lineRule="auto"/>
              <w:jc w:val="both"/>
              <w:rPr>
                <w:rFonts w:ascii="Times New Roman" w:hAnsi="Times New Roman"/>
                <w:sz w:val="20"/>
              </w:rPr>
            </w:pPr>
          </w:p>
        </w:tc>
        <w:tc>
          <w:tcPr>
            <w:tcW w:w="0" w:type="auto"/>
            <w:tcBorders>
              <w:top w:val="single" w:sz="6" w:space="0" w:color="auto"/>
              <w:left w:val="single" w:sz="6" w:space="0" w:color="auto"/>
              <w:bottom w:val="single" w:sz="6" w:space="0" w:color="auto"/>
              <w:right w:val="single" w:sz="6" w:space="0" w:color="auto"/>
            </w:tcBorders>
          </w:tcPr>
          <w:p w:rsidR="001948C1" w:rsidRDefault="001948C1" w:rsidP="00016E6B">
            <w:pPr>
              <w:tabs>
                <w:tab w:val="left" w:pos="5387"/>
              </w:tabs>
              <w:spacing w:line="480" w:lineRule="auto"/>
              <w:jc w:val="both"/>
              <w:rPr>
                <w:rFonts w:ascii="Times New Roman" w:hAnsi="Times New Roman"/>
                <w:sz w:val="20"/>
              </w:rPr>
            </w:pPr>
          </w:p>
        </w:tc>
        <w:tc>
          <w:tcPr>
            <w:tcW w:w="0" w:type="auto"/>
            <w:tcBorders>
              <w:top w:val="single" w:sz="6" w:space="0" w:color="auto"/>
              <w:left w:val="single" w:sz="6" w:space="0" w:color="auto"/>
              <w:bottom w:val="single" w:sz="6" w:space="0" w:color="auto"/>
              <w:right w:val="single" w:sz="6" w:space="0" w:color="auto"/>
            </w:tcBorders>
          </w:tcPr>
          <w:p w:rsidR="001948C1" w:rsidRDefault="001948C1" w:rsidP="00016E6B">
            <w:pPr>
              <w:tabs>
                <w:tab w:val="left" w:pos="5387"/>
              </w:tabs>
              <w:spacing w:line="480" w:lineRule="auto"/>
              <w:jc w:val="both"/>
              <w:rPr>
                <w:rFonts w:ascii="Times New Roman" w:hAnsi="Times New Roman"/>
                <w:sz w:val="20"/>
              </w:rPr>
            </w:pPr>
          </w:p>
        </w:tc>
        <w:tc>
          <w:tcPr>
            <w:tcW w:w="0" w:type="auto"/>
            <w:tcBorders>
              <w:top w:val="single" w:sz="6" w:space="0" w:color="auto"/>
              <w:left w:val="single" w:sz="6" w:space="0" w:color="auto"/>
              <w:bottom w:val="single" w:sz="6" w:space="0" w:color="auto"/>
              <w:right w:val="single" w:sz="6" w:space="0" w:color="auto"/>
            </w:tcBorders>
          </w:tcPr>
          <w:p w:rsidR="001948C1" w:rsidRDefault="001948C1" w:rsidP="00016E6B">
            <w:pPr>
              <w:tabs>
                <w:tab w:val="left" w:pos="5387"/>
              </w:tabs>
              <w:spacing w:line="480" w:lineRule="auto"/>
              <w:jc w:val="both"/>
              <w:rPr>
                <w:rFonts w:ascii="Times New Roman" w:hAnsi="Times New Roman"/>
                <w:sz w:val="20"/>
              </w:rPr>
            </w:pPr>
          </w:p>
        </w:tc>
      </w:tr>
    </w:tbl>
    <w:p w:rsidR="001948C1" w:rsidRPr="000035B2" w:rsidRDefault="001948C1" w:rsidP="00016E6B">
      <w:pPr>
        <w:jc w:val="both"/>
      </w:pPr>
    </w:p>
    <w:p w:rsidR="001948C1" w:rsidRDefault="001948C1" w:rsidP="00016E6B">
      <w:pPr>
        <w:pStyle w:val="Heading1"/>
        <w:spacing w:before="0"/>
        <w:jc w:val="both"/>
        <w:rPr>
          <w:rFonts w:ascii="Arial" w:hAnsi="Arial" w:cs="Arial"/>
          <w:sz w:val="24"/>
          <w:szCs w:val="24"/>
        </w:rPr>
      </w:pPr>
      <w:r w:rsidRPr="00A0677E">
        <w:rPr>
          <w:rFonts w:ascii="Arial" w:hAnsi="Arial" w:cs="Arial"/>
          <w:sz w:val="24"/>
          <w:szCs w:val="24"/>
        </w:rPr>
        <w:t>I: Gordon Campbell’s</w:t>
      </w:r>
      <w:r>
        <w:rPr>
          <w:rFonts w:ascii="Arial" w:hAnsi="Arial" w:cs="Arial"/>
          <w:sz w:val="24"/>
          <w:szCs w:val="24"/>
        </w:rPr>
        <w:t xml:space="preserve"> First Term: </w:t>
      </w:r>
    </w:p>
    <w:p w:rsidR="001948C1" w:rsidRPr="00A0677E" w:rsidRDefault="001948C1" w:rsidP="00016E6B">
      <w:pPr>
        <w:pStyle w:val="Heading1"/>
        <w:spacing w:before="0"/>
        <w:jc w:val="both"/>
        <w:rPr>
          <w:rFonts w:ascii="Arial" w:hAnsi="Arial" w:cs="Arial"/>
          <w:szCs w:val="24"/>
          <w:u w:val="single"/>
        </w:rPr>
      </w:pPr>
      <w:r w:rsidRPr="00A0677E">
        <w:rPr>
          <w:rFonts w:ascii="Arial" w:hAnsi="Arial" w:cs="Arial"/>
          <w:sz w:val="24"/>
          <w:szCs w:val="24"/>
        </w:rPr>
        <w:t xml:space="preserve">NED, the Community Charter </w:t>
      </w:r>
      <w:r w:rsidRPr="00A0677E">
        <w:rPr>
          <w:rFonts w:ascii="Arial" w:hAnsi="Arial" w:cs="Arial"/>
          <w:szCs w:val="24"/>
        </w:rPr>
        <w:t>and</w:t>
      </w:r>
      <w:r w:rsidRPr="00A0677E">
        <w:rPr>
          <w:rFonts w:ascii="Arial" w:hAnsi="Arial" w:cs="Arial"/>
          <w:sz w:val="24"/>
          <w:szCs w:val="24"/>
        </w:rPr>
        <w:t xml:space="preserve"> Other Legislative Reforms</w:t>
      </w:r>
      <w:r w:rsidRPr="00A0677E">
        <w:rPr>
          <w:rFonts w:ascii="Arial" w:hAnsi="Arial" w:cs="Arial"/>
          <w:szCs w:val="24"/>
        </w:rPr>
        <w:t>,</w:t>
      </w:r>
      <w:r w:rsidRPr="00A0677E">
        <w:rPr>
          <w:rFonts w:ascii="Arial" w:hAnsi="Arial" w:cs="Arial"/>
          <w:sz w:val="24"/>
          <w:szCs w:val="24"/>
        </w:rPr>
        <w:t xml:space="preserve"> 2001</w:t>
      </w:r>
      <w:r w:rsidRPr="00A0677E">
        <w:rPr>
          <w:rFonts w:ascii="Arial" w:hAnsi="Arial" w:cs="Arial"/>
          <w:szCs w:val="24"/>
        </w:rPr>
        <w:t>–200</w:t>
      </w:r>
      <w:r w:rsidRPr="00B53023">
        <w:rPr>
          <w:rFonts w:ascii="Arial" w:hAnsi="Arial" w:cs="Arial"/>
        </w:rPr>
        <w:t>5</w:t>
      </w:r>
    </w:p>
    <w:p w:rsidR="00B53023" w:rsidRPr="00B53023" w:rsidRDefault="00B53023" w:rsidP="00016E6B">
      <w:pPr>
        <w:spacing w:line="480" w:lineRule="auto"/>
        <w:ind w:firstLine="720"/>
        <w:jc w:val="both"/>
        <w:rPr>
          <w:rFonts w:cs="Arial"/>
          <w:sz w:val="16"/>
          <w:szCs w:val="16"/>
        </w:rPr>
      </w:pPr>
    </w:p>
    <w:p w:rsidR="001948C1" w:rsidRPr="00A0677E" w:rsidRDefault="001948C1" w:rsidP="00016E6B">
      <w:pPr>
        <w:spacing w:line="480" w:lineRule="auto"/>
        <w:ind w:firstLine="720"/>
        <w:jc w:val="both"/>
        <w:rPr>
          <w:rFonts w:cs="Arial"/>
        </w:rPr>
      </w:pPr>
      <w:r w:rsidRPr="00A0677E">
        <w:rPr>
          <w:rFonts w:cs="Arial"/>
        </w:rPr>
        <w:t xml:space="preserve">In the BC Liberal Party’s </w:t>
      </w:r>
      <w:r w:rsidRPr="00A0677E">
        <w:rPr>
          <w:rFonts w:cs="Arial"/>
          <w:b/>
        </w:rPr>
        <w:t>‘NEW ERA</w:t>
      </w:r>
      <w:r>
        <w:rPr>
          <w:rFonts w:cs="Arial"/>
          <w:b/>
        </w:rPr>
        <w:t xml:space="preserve"> D</w:t>
      </w:r>
      <w:r w:rsidR="00B53023">
        <w:rPr>
          <w:rFonts w:cs="Arial"/>
          <w:b/>
        </w:rPr>
        <w:t>OCUMENT</w:t>
      </w:r>
      <w:r w:rsidRPr="00A0677E">
        <w:rPr>
          <w:rFonts w:cs="Arial"/>
          <w:b/>
        </w:rPr>
        <w:t>’</w:t>
      </w:r>
      <w:r w:rsidRPr="00A0677E">
        <w:rPr>
          <w:rFonts w:cs="Arial"/>
        </w:rPr>
        <w:t xml:space="preserve"> election platform of 2001, one of the commitments </w:t>
      </w:r>
      <w:r>
        <w:rPr>
          <w:rFonts w:cs="Arial"/>
        </w:rPr>
        <w:t>during</w:t>
      </w:r>
      <w:r w:rsidRPr="00A0677E">
        <w:rPr>
          <w:rFonts w:cs="Arial"/>
        </w:rPr>
        <w:t xml:space="preserve"> the ‘first 90 days’ was action on the creation of new municipal legislation—a Community Charter. However, at the end of 90 days, instead of new legislation, British Columbians got process. </w:t>
      </w:r>
      <w:r>
        <w:rPr>
          <w:rFonts w:cs="Arial"/>
        </w:rPr>
        <w:t>To manage the</w:t>
      </w:r>
      <w:r w:rsidR="00016E6B">
        <w:rPr>
          <w:rFonts w:cs="Arial"/>
        </w:rPr>
        <w:t xml:space="preserve"> several</w:t>
      </w:r>
      <w:r>
        <w:rPr>
          <w:rFonts w:cs="Arial"/>
        </w:rPr>
        <w:t xml:space="preserve"> local reactions</w:t>
      </w:r>
      <w:r w:rsidR="000F61FD">
        <w:rPr>
          <w:rFonts w:cs="Arial"/>
        </w:rPr>
        <w:t xml:space="preserve"> to initial legislative ideas</w:t>
      </w:r>
      <w:r>
        <w:rPr>
          <w:rFonts w:cs="Arial"/>
        </w:rPr>
        <w:t xml:space="preserve">, </w:t>
      </w:r>
      <w:r w:rsidRPr="00A0677E">
        <w:rPr>
          <w:rFonts w:cs="Arial"/>
        </w:rPr>
        <w:t xml:space="preserve">Campbell appointed an 11-member Community Charter </w:t>
      </w:r>
      <w:r w:rsidRPr="00A0677E">
        <w:rPr>
          <w:rFonts w:cs="Arial"/>
        </w:rPr>
        <w:lastRenderedPageBreak/>
        <w:t xml:space="preserve">Council made up of current and past municipal/regional officials and provincial appointees. Four members were selected by the </w:t>
      </w:r>
      <w:r>
        <w:rPr>
          <w:rFonts w:cs="Arial"/>
        </w:rPr>
        <w:t>Union of British Columbia Municipalities (</w:t>
      </w:r>
      <w:r w:rsidRPr="00A0677E">
        <w:rPr>
          <w:rFonts w:cs="Arial"/>
        </w:rPr>
        <w:t>UBCM</w:t>
      </w:r>
      <w:r>
        <w:rPr>
          <w:rFonts w:cs="Arial"/>
        </w:rPr>
        <w:t>)</w:t>
      </w:r>
      <w:r w:rsidRPr="00A0677E">
        <w:rPr>
          <w:rFonts w:cs="Arial"/>
        </w:rPr>
        <w:t xml:space="preserve">, four members-at-large were selected by the provincial cabinet on the recommendation of the UBCM, and the provincial government appointed three members to represent provincial interests; </w:t>
      </w:r>
      <w:r>
        <w:rPr>
          <w:rFonts w:cs="Arial"/>
        </w:rPr>
        <w:t>This ‘council’ reported to a new Minister of State for the Community Charter, former Whistler, BC Mayor Ted Nebbling. T</w:t>
      </w:r>
      <w:r w:rsidRPr="00A0677E">
        <w:rPr>
          <w:rFonts w:cs="Arial"/>
        </w:rPr>
        <w:t xml:space="preserve">he </w:t>
      </w:r>
      <w:r>
        <w:rPr>
          <w:rFonts w:cs="Arial"/>
        </w:rPr>
        <w:t xml:space="preserve">Community Charter </w:t>
      </w:r>
      <w:r w:rsidRPr="00A0677E">
        <w:rPr>
          <w:rFonts w:cs="Arial"/>
        </w:rPr>
        <w:t>Minister of State</w:t>
      </w:r>
      <w:r>
        <w:rPr>
          <w:rFonts w:cs="Arial"/>
        </w:rPr>
        <w:t>’s</w:t>
      </w:r>
      <w:r w:rsidRPr="00A0677E">
        <w:rPr>
          <w:rFonts w:cs="Arial"/>
        </w:rPr>
        <w:t xml:space="preserve"> task </w:t>
      </w:r>
      <w:r>
        <w:rPr>
          <w:rFonts w:cs="Arial"/>
        </w:rPr>
        <w:t>was t</w:t>
      </w:r>
      <w:r w:rsidRPr="00A0677E">
        <w:rPr>
          <w:rFonts w:cs="Arial"/>
        </w:rPr>
        <w:t>o consult and develop draft legislation</w:t>
      </w:r>
      <w:r>
        <w:rPr>
          <w:rFonts w:cs="Arial"/>
        </w:rPr>
        <w:t xml:space="preserve">; </w:t>
      </w:r>
      <w:r w:rsidRPr="00A0677E">
        <w:rPr>
          <w:rFonts w:cs="Arial"/>
        </w:rPr>
        <w:t xml:space="preserve">in October 2001 the Charter Council published </w:t>
      </w:r>
      <w:r w:rsidRPr="00A0677E">
        <w:rPr>
          <w:rFonts w:cs="Arial"/>
          <w:i/>
        </w:rPr>
        <w:t>The Community Charter: A Discussion Paper</w:t>
      </w:r>
      <w:r w:rsidRPr="00A0677E">
        <w:rPr>
          <w:rFonts w:cs="Arial"/>
        </w:rPr>
        <w:t>. Much preliminary work had already been done while the Liberals waited their turn to govern in BC</w:t>
      </w:r>
      <w:r>
        <w:rPr>
          <w:rFonts w:cs="Arial"/>
        </w:rPr>
        <w:t xml:space="preserve"> during the 1990’s</w:t>
      </w:r>
      <w:r w:rsidRPr="00A0677E">
        <w:rPr>
          <w:rFonts w:cs="Arial"/>
        </w:rPr>
        <w:t xml:space="preserve">. Initially, public input </w:t>
      </w:r>
      <w:r w:rsidR="00016E6B">
        <w:rPr>
          <w:rFonts w:cs="Arial"/>
        </w:rPr>
        <w:t xml:space="preserve">to the Council </w:t>
      </w:r>
      <w:r w:rsidRPr="00A0677E">
        <w:rPr>
          <w:rFonts w:cs="Arial"/>
        </w:rPr>
        <w:t>was limited to a small number of municipal officials and representatives from the Union of BC Municipalities, but after considerable criticism</w:t>
      </w:r>
      <w:r>
        <w:rPr>
          <w:rFonts w:cs="Arial"/>
        </w:rPr>
        <w:t>,</w:t>
      </w:r>
      <w:r w:rsidRPr="00A0677E">
        <w:rPr>
          <w:rFonts w:cs="Arial"/>
        </w:rPr>
        <w:t xml:space="preserve"> the process was broadened to include input from elected officials from various parts of the province (Vance, 2002). In May 2002, the Ministry of Community, Aboriginal and Women’s Services (</w:t>
      </w:r>
      <w:r>
        <w:rPr>
          <w:rFonts w:cs="Arial"/>
        </w:rPr>
        <w:t>M</w:t>
      </w:r>
      <w:r w:rsidRPr="00A0677E">
        <w:rPr>
          <w:rFonts w:cs="Arial"/>
        </w:rPr>
        <w:t xml:space="preserve">CAWS—which had ‘replaced’ Municipal Affairs) released </w:t>
      </w:r>
      <w:r w:rsidRPr="00A0677E">
        <w:rPr>
          <w:rFonts w:cs="Arial"/>
          <w:i/>
        </w:rPr>
        <w:t>The Community Charter: A New Legislative Framework for Local Government</w:t>
      </w:r>
      <w:r w:rsidRPr="00A0677E">
        <w:rPr>
          <w:rFonts w:cs="Arial"/>
        </w:rPr>
        <w:t xml:space="preserve">. According to </w:t>
      </w:r>
      <w:r w:rsidR="000F61FD">
        <w:rPr>
          <w:rFonts w:cs="Arial"/>
        </w:rPr>
        <w:t>Minister Nebbling</w:t>
      </w:r>
      <w:r w:rsidRPr="00A0677E">
        <w:rPr>
          <w:rFonts w:cs="Arial"/>
        </w:rPr>
        <w:t>, the new legislation would:</w:t>
      </w:r>
    </w:p>
    <w:p w:rsidR="001948C1" w:rsidRPr="00223307" w:rsidRDefault="001948C1" w:rsidP="00016E6B">
      <w:pPr>
        <w:pStyle w:val="NormalIndent"/>
        <w:spacing w:line="480" w:lineRule="auto"/>
        <w:ind w:left="850" w:right="624"/>
        <w:jc w:val="both"/>
        <w:rPr>
          <w:rFonts w:ascii="Arial" w:hAnsi="Arial" w:cs="Arial"/>
          <w:i/>
          <w:sz w:val="16"/>
          <w:szCs w:val="16"/>
        </w:rPr>
      </w:pPr>
      <w:r w:rsidRPr="0076209B">
        <w:rPr>
          <w:rFonts w:ascii="Arial" w:hAnsi="Arial" w:cs="Arial"/>
        </w:rPr>
        <w:t xml:space="preserve">replace a provincial tradition of rigid rules and paternalism with flexibility and co-operation, . . . will encourage municipalities to be more self-reliant . . . [and] presents simple, concise legislation that balances broad municipal abilities with public accountability and protection of province-wide interests in key areas like the economy, environment and public health. </w:t>
      </w:r>
      <w:r w:rsidRPr="00223307">
        <w:rPr>
          <w:rFonts w:ascii="Arial" w:hAnsi="Arial" w:cs="Arial"/>
          <w:i/>
          <w:sz w:val="16"/>
          <w:szCs w:val="16"/>
        </w:rPr>
        <w:t>(Ministry of Community, Aboriginal and Women’s Services, 2002: 3).</w:t>
      </w:r>
    </w:p>
    <w:p w:rsidR="001948C1" w:rsidRPr="00A0677E" w:rsidRDefault="001948C1" w:rsidP="00016E6B">
      <w:pPr>
        <w:spacing w:line="480" w:lineRule="auto"/>
        <w:ind w:firstLine="720"/>
        <w:jc w:val="both"/>
        <w:rPr>
          <w:rFonts w:cs="Arial"/>
        </w:rPr>
      </w:pPr>
      <w:r w:rsidRPr="00A0677E">
        <w:rPr>
          <w:rFonts w:cs="Arial"/>
        </w:rPr>
        <w:t xml:space="preserve">Structurally and functionally, little changed under the Community Charter, but the legislation did bring about a number of financial and jurisdictional reforms—all aimed at </w:t>
      </w:r>
      <w:r w:rsidRPr="00A0677E">
        <w:rPr>
          <w:rFonts w:cs="Arial"/>
        </w:rPr>
        <w:lastRenderedPageBreak/>
        <w:t>freeing up the hands of local government</w:t>
      </w:r>
      <w:r>
        <w:rPr>
          <w:rFonts w:cs="Arial"/>
        </w:rPr>
        <w:t xml:space="preserve"> – a process begun with the NDP in its new </w:t>
      </w:r>
      <w:r w:rsidRPr="000F61FD">
        <w:rPr>
          <w:rFonts w:cs="Arial"/>
          <w:i/>
        </w:rPr>
        <w:t>Local  Government Act</w:t>
      </w:r>
      <w:r>
        <w:rPr>
          <w:rFonts w:cs="Arial"/>
        </w:rPr>
        <w:t xml:space="preserve"> of the late 1990’s.</w:t>
      </w:r>
    </w:p>
    <w:p w:rsidR="001948C1" w:rsidRPr="00A0677E" w:rsidRDefault="001948C1" w:rsidP="00016E6B">
      <w:pPr>
        <w:spacing w:line="480" w:lineRule="auto"/>
        <w:ind w:firstLine="720"/>
        <w:jc w:val="both"/>
        <w:rPr>
          <w:rFonts w:cs="Arial"/>
        </w:rPr>
      </w:pPr>
      <w:r>
        <w:rPr>
          <w:rFonts w:cs="Arial"/>
        </w:rPr>
        <w:t>BC’s Community Charter iterated a number of these sentiments:</w:t>
      </w:r>
    </w:p>
    <w:p w:rsidR="001948C1" w:rsidRPr="00A0677E" w:rsidRDefault="001948C1" w:rsidP="00B53023">
      <w:pPr>
        <w:numPr>
          <w:ilvl w:val="0"/>
          <w:numId w:val="6"/>
        </w:numPr>
        <w:overflowPunct w:val="0"/>
        <w:autoSpaceDE w:val="0"/>
        <w:autoSpaceDN w:val="0"/>
        <w:adjustRightInd w:val="0"/>
        <w:ind w:left="714" w:right="720" w:hanging="357"/>
        <w:jc w:val="both"/>
        <w:textAlignment w:val="baseline"/>
        <w:rPr>
          <w:rFonts w:cs="Arial"/>
        </w:rPr>
      </w:pPr>
      <w:r w:rsidRPr="00A0677E">
        <w:rPr>
          <w:rFonts w:cs="Arial"/>
          <w:i/>
        </w:rPr>
        <w:t>‘Natural person’ powers</w:t>
      </w:r>
      <w:r w:rsidRPr="00A0677E">
        <w:rPr>
          <w:rFonts w:cs="Arial"/>
        </w:rPr>
        <w:t xml:space="preserve">. </w:t>
      </w:r>
      <w:r w:rsidR="000F61FD">
        <w:rPr>
          <w:rFonts w:cs="Arial"/>
        </w:rPr>
        <w:t xml:space="preserve">Under legislation prior to the Community Charter </w:t>
      </w:r>
      <w:r w:rsidRPr="00A0677E">
        <w:rPr>
          <w:rFonts w:cs="Arial"/>
        </w:rPr>
        <w:t>BC municipalities</w:t>
      </w:r>
      <w:r w:rsidR="000F61FD">
        <w:rPr>
          <w:rFonts w:cs="Arial"/>
        </w:rPr>
        <w:t xml:space="preserve"> were</w:t>
      </w:r>
      <w:r w:rsidRPr="00A0677E">
        <w:rPr>
          <w:rFonts w:cs="Arial"/>
        </w:rPr>
        <w:t xml:space="preserve"> corporate entities, meaning that their powers</w:t>
      </w:r>
      <w:r w:rsidR="000F61FD">
        <w:rPr>
          <w:rFonts w:cs="Arial"/>
        </w:rPr>
        <w:t xml:space="preserve"> were</w:t>
      </w:r>
      <w:r w:rsidRPr="00A0677E">
        <w:rPr>
          <w:rFonts w:cs="Arial"/>
        </w:rPr>
        <w:t xml:space="preserve"> subject to some limitations on the making of agreements and providing assistance. ‘Natural person’ powers do away with itemized corporate powers and increase the corporate capacity of the municipality in relation to already delegated powers.</w:t>
      </w:r>
    </w:p>
    <w:p w:rsidR="001948C1" w:rsidRPr="00A0677E" w:rsidRDefault="001948C1" w:rsidP="00B53023">
      <w:pPr>
        <w:numPr>
          <w:ilvl w:val="0"/>
          <w:numId w:val="6"/>
        </w:numPr>
        <w:overflowPunct w:val="0"/>
        <w:autoSpaceDE w:val="0"/>
        <w:autoSpaceDN w:val="0"/>
        <w:adjustRightInd w:val="0"/>
        <w:ind w:left="714" w:right="720" w:hanging="357"/>
        <w:jc w:val="both"/>
        <w:textAlignment w:val="baseline"/>
        <w:rPr>
          <w:rFonts w:cs="Arial"/>
          <w:b/>
        </w:rPr>
      </w:pPr>
      <w:r w:rsidRPr="00A0677E">
        <w:rPr>
          <w:rFonts w:cs="Arial"/>
          <w:i/>
        </w:rPr>
        <w:t>Service powers</w:t>
      </w:r>
      <w:r w:rsidRPr="00A0677E">
        <w:rPr>
          <w:rFonts w:cs="Arial"/>
        </w:rPr>
        <w:t>.</w:t>
      </w:r>
      <w:r w:rsidRPr="00A0677E">
        <w:rPr>
          <w:rFonts w:cs="Arial"/>
          <w:b/>
        </w:rPr>
        <w:t xml:space="preserve"> </w:t>
      </w:r>
      <w:r w:rsidR="000F61FD" w:rsidRPr="000F61FD">
        <w:rPr>
          <w:rFonts w:cs="Arial"/>
        </w:rPr>
        <w:t>Under the Charter,</w:t>
      </w:r>
      <w:r w:rsidR="000F61FD">
        <w:rPr>
          <w:rFonts w:cs="Arial"/>
          <w:b/>
        </w:rPr>
        <w:t xml:space="preserve"> </w:t>
      </w:r>
      <w:r w:rsidRPr="00A0677E">
        <w:rPr>
          <w:rFonts w:cs="Arial"/>
        </w:rPr>
        <w:t xml:space="preserve">Municipal councils may now provide any service they consider necessary and bylaws are no longer required to establish or abolish services. </w:t>
      </w:r>
    </w:p>
    <w:p w:rsidR="001948C1" w:rsidRPr="00A0677E" w:rsidRDefault="001948C1" w:rsidP="00B53023">
      <w:pPr>
        <w:numPr>
          <w:ilvl w:val="0"/>
          <w:numId w:val="6"/>
        </w:numPr>
        <w:overflowPunct w:val="0"/>
        <w:autoSpaceDE w:val="0"/>
        <w:autoSpaceDN w:val="0"/>
        <w:adjustRightInd w:val="0"/>
        <w:ind w:left="714" w:right="720" w:hanging="357"/>
        <w:jc w:val="both"/>
        <w:textAlignment w:val="baseline"/>
        <w:rPr>
          <w:rFonts w:cs="Arial"/>
          <w:b/>
        </w:rPr>
      </w:pPr>
      <w:r w:rsidRPr="00A0677E">
        <w:rPr>
          <w:rFonts w:cs="Arial"/>
          <w:i/>
        </w:rPr>
        <w:t>Agreements</w:t>
      </w:r>
      <w:r w:rsidRPr="00A0677E">
        <w:rPr>
          <w:rFonts w:cs="Arial"/>
        </w:rPr>
        <w:t xml:space="preserve">. In terms of public-private partnerships, municipalities gain a simplified authority to grant an exclusive or limited franchise for transportation, water, or energy systems, and the requirement of provincial approval for agreements between a municipality and a public authority in another province is eliminated. </w:t>
      </w:r>
    </w:p>
    <w:p w:rsidR="001948C1" w:rsidRPr="00A0677E" w:rsidRDefault="001948C1" w:rsidP="00B53023">
      <w:pPr>
        <w:numPr>
          <w:ilvl w:val="0"/>
          <w:numId w:val="6"/>
        </w:numPr>
        <w:overflowPunct w:val="0"/>
        <w:autoSpaceDE w:val="0"/>
        <w:autoSpaceDN w:val="0"/>
        <w:adjustRightInd w:val="0"/>
        <w:ind w:left="714" w:right="720" w:hanging="357"/>
        <w:jc w:val="both"/>
        <w:textAlignment w:val="baseline"/>
        <w:rPr>
          <w:rFonts w:cs="Arial"/>
          <w:b/>
        </w:rPr>
      </w:pPr>
      <w:r w:rsidRPr="00A0677E">
        <w:rPr>
          <w:rFonts w:cs="Arial"/>
          <w:i/>
        </w:rPr>
        <w:t>Additional revenue sources</w:t>
      </w:r>
      <w:r w:rsidRPr="00A0677E">
        <w:rPr>
          <w:rFonts w:cs="Arial"/>
        </w:rPr>
        <w:t xml:space="preserve">. The Community Charter ‘puts forward for discussion’, but does not yet commit the province to, a number of potential municipal revenue sources outside of property taxes, including: fuel tax, resort tax, local entertainment tax, parking stall tax, hotel room revenue tax, and road tolls. [In the case of Greater Vancouver’s transportation authority, some of these tax powers </w:t>
      </w:r>
      <w:r w:rsidR="000F61FD">
        <w:rPr>
          <w:rFonts w:cs="Arial"/>
        </w:rPr>
        <w:t>had</w:t>
      </w:r>
      <w:r w:rsidRPr="00A0677E">
        <w:rPr>
          <w:rFonts w:cs="Arial"/>
        </w:rPr>
        <w:t xml:space="preserve"> already</w:t>
      </w:r>
      <w:r w:rsidR="000F61FD">
        <w:rPr>
          <w:rFonts w:cs="Arial"/>
        </w:rPr>
        <w:t xml:space="preserve"> been</w:t>
      </w:r>
      <w:r w:rsidRPr="00A0677E">
        <w:rPr>
          <w:rFonts w:cs="Arial"/>
        </w:rPr>
        <w:t xml:space="preserve"> transfer</w:t>
      </w:r>
      <w:r w:rsidR="000F61FD">
        <w:rPr>
          <w:rFonts w:cs="Arial"/>
        </w:rPr>
        <w:t>r</w:t>
      </w:r>
      <w:r w:rsidRPr="00A0677E">
        <w:rPr>
          <w:rFonts w:cs="Arial"/>
        </w:rPr>
        <w:t>ed</w:t>
      </w:r>
      <w:r w:rsidR="000F61FD">
        <w:rPr>
          <w:rFonts w:cs="Arial"/>
        </w:rPr>
        <w:t xml:space="preserve"> – though provincial oversight continued</w:t>
      </w:r>
      <w:r w:rsidRPr="00A0677E">
        <w:rPr>
          <w:rFonts w:cs="Arial"/>
        </w:rPr>
        <w:t>.)</w:t>
      </w:r>
    </w:p>
    <w:p w:rsidR="00B53023" w:rsidRPr="00B53023" w:rsidRDefault="00B53023" w:rsidP="00016E6B">
      <w:pPr>
        <w:spacing w:line="480" w:lineRule="auto"/>
        <w:ind w:right="720" w:firstLine="720"/>
        <w:jc w:val="both"/>
        <w:rPr>
          <w:rFonts w:cs="Arial"/>
          <w:sz w:val="16"/>
          <w:szCs w:val="16"/>
        </w:rPr>
      </w:pPr>
    </w:p>
    <w:p w:rsidR="001948C1" w:rsidRPr="00A0677E" w:rsidRDefault="001948C1" w:rsidP="00016E6B">
      <w:pPr>
        <w:spacing w:line="480" w:lineRule="auto"/>
        <w:ind w:right="720" w:firstLine="720"/>
        <w:jc w:val="both"/>
        <w:rPr>
          <w:rFonts w:cs="Arial"/>
        </w:rPr>
      </w:pPr>
      <w:r w:rsidRPr="00A0677E">
        <w:rPr>
          <w:rFonts w:cs="Arial"/>
        </w:rPr>
        <w:t xml:space="preserve">In addition, the </w:t>
      </w:r>
      <w:r w:rsidRPr="000F61FD">
        <w:rPr>
          <w:rFonts w:cs="Arial"/>
          <w:i/>
        </w:rPr>
        <w:t>Community Charter</w:t>
      </w:r>
      <w:r w:rsidRPr="00A0677E">
        <w:rPr>
          <w:rFonts w:cs="Arial"/>
        </w:rPr>
        <w:t xml:space="preserve"> went to some lengths to clarify local-provincial relations by recognizing municipalities as ‘an order to government’ and promising:</w:t>
      </w:r>
    </w:p>
    <w:p w:rsidR="001948C1" w:rsidRPr="00A0677E" w:rsidRDefault="001948C1" w:rsidP="00B53023">
      <w:pPr>
        <w:numPr>
          <w:ilvl w:val="0"/>
          <w:numId w:val="7"/>
        </w:numPr>
        <w:overflowPunct w:val="0"/>
        <w:autoSpaceDE w:val="0"/>
        <w:autoSpaceDN w:val="0"/>
        <w:adjustRightInd w:val="0"/>
        <w:ind w:left="714" w:right="720" w:hanging="357"/>
        <w:jc w:val="both"/>
        <w:textAlignment w:val="baseline"/>
        <w:rPr>
          <w:rFonts w:cs="Arial"/>
          <w:b/>
        </w:rPr>
      </w:pPr>
      <w:r w:rsidRPr="00A0677E">
        <w:rPr>
          <w:rFonts w:cs="Arial"/>
          <w:i/>
        </w:rPr>
        <w:t>Consultation</w:t>
      </w:r>
      <w:r w:rsidRPr="00A0677E">
        <w:rPr>
          <w:rFonts w:cs="Arial"/>
        </w:rPr>
        <w:t>. The provincial government agrees to consult with the UBCM before changing local government enactments or reducing revenue transfers.</w:t>
      </w:r>
    </w:p>
    <w:p w:rsidR="001948C1" w:rsidRPr="00A0677E" w:rsidRDefault="001948C1" w:rsidP="00B53023">
      <w:pPr>
        <w:numPr>
          <w:ilvl w:val="0"/>
          <w:numId w:val="7"/>
        </w:numPr>
        <w:overflowPunct w:val="0"/>
        <w:autoSpaceDE w:val="0"/>
        <w:autoSpaceDN w:val="0"/>
        <w:adjustRightInd w:val="0"/>
        <w:ind w:left="714" w:right="720" w:hanging="357"/>
        <w:jc w:val="both"/>
        <w:textAlignment w:val="baseline"/>
        <w:rPr>
          <w:rFonts w:cs="Arial"/>
          <w:b/>
        </w:rPr>
      </w:pPr>
      <w:r w:rsidRPr="00A0677E">
        <w:rPr>
          <w:rFonts w:cs="Arial"/>
          <w:i/>
        </w:rPr>
        <w:t>No forced amalgamations</w:t>
      </w:r>
      <w:r w:rsidRPr="00A0677E">
        <w:rPr>
          <w:rFonts w:cs="Arial"/>
        </w:rPr>
        <w:t xml:space="preserve">. Amalgamations between two or more municipalities will not occur unless electors within the affected communities approve the merger. </w:t>
      </w:r>
    </w:p>
    <w:p w:rsidR="001948C1" w:rsidRPr="00A0677E" w:rsidRDefault="001948C1" w:rsidP="00B53023">
      <w:pPr>
        <w:numPr>
          <w:ilvl w:val="0"/>
          <w:numId w:val="7"/>
        </w:numPr>
        <w:overflowPunct w:val="0"/>
        <w:autoSpaceDE w:val="0"/>
        <w:autoSpaceDN w:val="0"/>
        <w:adjustRightInd w:val="0"/>
        <w:ind w:left="714" w:right="720" w:hanging="357"/>
        <w:jc w:val="both"/>
        <w:textAlignment w:val="baseline"/>
        <w:rPr>
          <w:rFonts w:cs="Arial"/>
          <w:b/>
        </w:rPr>
      </w:pPr>
      <w:r w:rsidRPr="00A0677E">
        <w:rPr>
          <w:rFonts w:cs="Arial"/>
          <w:i/>
        </w:rPr>
        <w:t>Reduction of provincial approvals</w:t>
      </w:r>
      <w:r w:rsidRPr="00A0677E">
        <w:rPr>
          <w:rFonts w:cs="Arial"/>
        </w:rPr>
        <w:t xml:space="preserve">. Under the </w:t>
      </w:r>
      <w:r w:rsidRPr="006F52C6">
        <w:rPr>
          <w:rFonts w:cs="Arial"/>
          <w:i/>
        </w:rPr>
        <w:t>Community Charter</w:t>
      </w:r>
      <w:r w:rsidRPr="00A0677E">
        <w:rPr>
          <w:rFonts w:cs="Arial"/>
        </w:rPr>
        <w:t xml:space="preserve"> the number of routine provincial government approvals will be reduced. As well, the </w:t>
      </w:r>
      <w:r w:rsidRPr="006F52C6">
        <w:rPr>
          <w:rFonts w:cs="Arial"/>
          <w:i/>
        </w:rPr>
        <w:t>Community Charter</w:t>
      </w:r>
      <w:r w:rsidRPr="00A0677E">
        <w:rPr>
          <w:rFonts w:cs="Arial"/>
        </w:rPr>
        <w:t xml:space="preserve"> allows the province to reduce approvals further over time through regulations.</w:t>
      </w:r>
    </w:p>
    <w:p w:rsidR="001948C1" w:rsidRPr="006F52C6" w:rsidRDefault="001948C1" w:rsidP="00016E6B">
      <w:pPr>
        <w:spacing w:line="480" w:lineRule="auto"/>
        <w:ind w:firstLine="720"/>
        <w:jc w:val="both"/>
        <w:rPr>
          <w:rFonts w:cs="Arial"/>
          <w:sz w:val="16"/>
          <w:szCs w:val="16"/>
        </w:rPr>
      </w:pPr>
    </w:p>
    <w:p w:rsidR="001948C1" w:rsidRPr="00A0677E" w:rsidRDefault="001948C1" w:rsidP="00016E6B">
      <w:pPr>
        <w:pStyle w:val="BodyTextIndent3"/>
        <w:keepNext/>
        <w:spacing w:line="480" w:lineRule="auto"/>
        <w:rPr>
          <w:rFonts w:ascii="Arial" w:hAnsi="Arial" w:cs="Arial"/>
        </w:rPr>
      </w:pPr>
      <w:r w:rsidRPr="00A0677E">
        <w:rPr>
          <w:rFonts w:ascii="Arial" w:hAnsi="Arial" w:cs="Arial"/>
        </w:rPr>
        <w:lastRenderedPageBreak/>
        <w:t>These commitments indicated that the Liberals wished to increase administrative flexibility and, as much as possible, free local authorities from time-consuming provincial interference—a move underscored by the shift from corporate to ‘natural person’ powers, reduced provincial oversight, and promises of consultation and increased revenue-generating capacity. Thus,</w:t>
      </w:r>
      <w:r w:rsidR="006F52C6">
        <w:rPr>
          <w:rFonts w:ascii="Arial" w:hAnsi="Arial" w:cs="Arial"/>
        </w:rPr>
        <w:t xml:space="preserve"> this initial Liberal round </w:t>
      </w:r>
      <w:r w:rsidRPr="00A0677E">
        <w:rPr>
          <w:rFonts w:ascii="Arial" w:hAnsi="Arial" w:cs="Arial"/>
        </w:rPr>
        <w:t>of municipal legislative reform in British Columbia can be seen as an attempt to increase efficiency through decentralization based on limited financial and jurisdictional tinkering and no major structural or functional reforms. However, BC local governments appear</w:t>
      </w:r>
      <w:r w:rsidR="006F52C6">
        <w:rPr>
          <w:rFonts w:ascii="Arial" w:hAnsi="Arial" w:cs="Arial"/>
        </w:rPr>
        <w:t>ed</w:t>
      </w:r>
      <w:r w:rsidRPr="00A0677E">
        <w:rPr>
          <w:rFonts w:ascii="Arial" w:hAnsi="Arial" w:cs="Arial"/>
        </w:rPr>
        <w:t xml:space="preserve"> wise to be wary of such promises. After all, since the 2001 provincial general election local BC school boards </w:t>
      </w:r>
      <w:r w:rsidR="006F52C6">
        <w:rPr>
          <w:rFonts w:ascii="Arial" w:hAnsi="Arial" w:cs="Arial"/>
        </w:rPr>
        <w:t>were</w:t>
      </w:r>
      <w:r w:rsidRPr="00A0677E">
        <w:rPr>
          <w:rFonts w:ascii="Arial" w:hAnsi="Arial" w:cs="Arial"/>
        </w:rPr>
        <w:t xml:space="preserve"> dealt with in ways entirely opposite to the sentiments expressed in the </w:t>
      </w:r>
      <w:r w:rsidRPr="006F52C6">
        <w:rPr>
          <w:rFonts w:ascii="Arial" w:hAnsi="Arial" w:cs="Arial"/>
          <w:i/>
        </w:rPr>
        <w:t>Community Charter</w:t>
      </w:r>
      <w:r w:rsidRPr="00A0677E">
        <w:rPr>
          <w:rFonts w:ascii="Arial" w:hAnsi="Arial" w:cs="Arial"/>
        </w:rPr>
        <w:t>. Not long after being elected, the Liberals imposed a three-year teachers’ pay settlement, then announced that school boards would be responsible for the pay increases for years two and three without any additional compensation despite their earlier promise not to cut education funding. As a result of this de facto cut most school boards had to lay off teachers and close schools. Even when some of the funding was restored, local school boards were left significantly disadvantaged and having to deal with the political fallout from local cuts. Similarly, restructured health boards (now just six for BC) found that many decisions on costs and closures were left to them, after health budgets were limited, despite the provincial government’s promise that there would be ‘no cuts to health-care funding’. Again, the ‘dirty work’ of</w:t>
      </w:r>
      <w:r w:rsidR="006F52C6">
        <w:rPr>
          <w:rFonts w:ascii="Arial" w:hAnsi="Arial" w:cs="Arial"/>
        </w:rPr>
        <w:t xml:space="preserve"> provincial</w:t>
      </w:r>
      <w:r w:rsidRPr="00A0677E">
        <w:rPr>
          <w:rFonts w:ascii="Arial" w:hAnsi="Arial" w:cs="Arial"/>
        </w:rPr>
        <w:t xml:space="preserve"> cutbacks fell on the ‘local’ authorities.</w:t>
      </w:r>
    </w:p>
    <w:p w:rsidR="006B1138" w:rsidRDefault="001948C1" w:rsidP="00016E6B">
      <w:pPr>
        <w:pStyle w:val="BodyTextIndent3"/>
        <w:spacing w:line="480" w:lineRule="auto"/>
        <w:rPr>
          <w:rFonts w:ascii="Arial" w:hAnsi="Arial" w:cs="Arial"/>
        </w:rPr>
      </w:pPr>
      <w:r w:rsidRPr="00A0677E">
        <w:rPr>
          <w:rFonts w:ascii="Arial" w:hAnsi="Arial" w:cs="Arial"/>
        </w:rPr>
        <w:t xml:space="preserve">In terms of accountability, the Liberals argued that they were shifting responsibility for monitoring local councils from provincial ministries to local </w:t>
      </w:r>
      <w:r w:rsidRPr="00A0677E">
        <w:rPr>
          <w:rFonts w:ascii="Arial" w:hAnsi="Arial" w:cs="Arial"/>
        </w:rPr>
        <w:lastRenderedPageBreak/>
        <w:t xml:space="preserve">communities: ‘The Charter is founded on a principle that municipalities are accountable to the public, not the province. Therefore, the . . . Charter does not call for reporting to the province but rather to citizens’ (Minister of Community, Aboriginal and Women’s Services, 2002: 14). The Liberals appeared to recognize that municipal policy decisions </w:t>
      </w:r>
      <w:r w:rsidR="00567784">
        <w:rPr>
          <w:rFonts w:ascii="Arial" w:hAnsi="Arial" w:cs="Arial"/>
        </w:rPr>
        <w:t>should</w:t>
      </w:r>
      <w:r w:rsidR="006B1138">
        <w:rPr>
          <w:rFonts w:ascii="Arial" w:hAnsi="Arial" w:cs="Arial"/>
        </w:rPr>
        <w:t>/</w:t>
      </w:r>
      <w:r w:rsidRPr="00A0677E">
        <w:rPr>
          <w:rFonts w:ascii="Arial" w:hAnsi="Arial" w:cs="Arial"/>
        </w:rPr>
        <w:t xml:space="preserve">would more likely reflect the will of the local community only if local accountability were improved. However, by adding only an ‘annual reporting’ requirement and </w:t>
      </w:r>
      <w:r w:rsidR="006B1138">
        <w:rPr>
          <w:rFonts w:ascii="Arial" w:hAnsi="Arial" w:cs="Arial"/>
        </w:rPr>
        <w:t xml:space="preserve">very </w:t>
      </w:r>
      <w:r w:rsidRPr="00A0677E">
        <w:rPr>
          <w:rFonts w:ascii="Arial" w:hAnsi="Arial" w:cs="Arial"/>
        </w:rPr>
        <w:t xml:space="preserve">minor changes </w:t>
      </w:r>
      <w:r w:rsidR="006B1138">
        <w:rPr>
          <w:rFonts w:ascii="Arial" w:hAnsi="Arial" w:cs="Arial"/>
        </w:rPr>
        <w:t>on</w:t>
      </w:r>
      <w:r w:rsidRPr="00A0677E">
        <w:rPr>
          <w:rFonts w:ascii="Arial" w:hAnsi="Arial" w:cs="Arial"/>
        </w:rPr>
        <w:t xml:space="preserve"> conflict of interest</w:t>
      </w:r>
      <w:r w:rsidR="006B1138">
        <w:rPr>
          <w:rFonts w:ascii="Arial" w:hAnsi="Arial" w:cs="Arial"/>
        </w:rPr>
        <w:t xml:space="preserve"> to the</w:t>
      </w:r>
      <w:r w:rsidRPr="00A0677E">
        <w:rPr>
          <w:rFonts w:ascii="Arial" w:hAnsi="Arial" w:cs="Arial"/>
        </w:rPr>
        <w:t xml:space="preserve"> legislation, the Liberals ran the risk of further freeing the hands of under-accountable local governmental bodies. </w:t>
      </w:r>
    </w:p>
    <w:p w:rsidR="001948C1" w:rsidRPr="00A0677E" w:rsidRDefault="001948C1" w:rsidP="00016E6B">
      <w:pPr>
        <w:pStyle w:val="BodyTextIndent3"/>
        <w:spacing w:line="480" w:lineRule="auto"/>
        <w:rPr>
          <w:rFonts w:ascii="Arial" w:hAnsi="Arial" w:cs="Arial"/>
          <w:b/>
        </w:rPr>
      </w:pPr>
      <w:r w:rsidRPr="00A0677E">
        <w:rPr>
          <w:rFonts w:ascii="Arial" w:hAnsi="Arial" w:cs="Arial"/>
        </w:rPr>
        <w:t>When asked about the possibility of including substantive accountability (</w:t>
      </w:r>
      <w:r w:rsidR="006B1138">
        <w:rPr>
          <w:rFonts w:ascii="Arial" w:hAnsi="Arial" w:cs="Arial"/>
        </w:rPr>
        <w:t>e.g</w:t>
      </w:r>
      <w:r w:rsidRPr="00A0677E">
        <w:rPr>
          <w:rFonts w:ascii="Arial" w:hAnsi="Arial" w:cs="Arial"/>
        </w:rPr>
        <w:t xml:space="preserve">., electoral) reforms in what was initially termed the Phase I version of the </w:t>
      </w:r>
      <w:r w:rsidRPr="006B1138">
        <w:rPr>
          <w:rFonts w:ascii="Arial" w:hAnsi="Arial" w:cs="Arial"/>
          <w:i/>
        </w:rPr>
        <w:t>Community Charter</w:t>
      </w:r>
      <w:r w:rsidRPr="00A0677E">
        <w:rPr>
          <w:rFonts w:ascii="Arial" w:hAnsi="Arial" w:cs="Arial"/>
        </w:rPr>
        <w:t xml:space="preserve">, officials at </w:t>
      </w:r>
      <w:r w:rsidRPr="006B1138">
        <w:rPr>
          <w:rFonts w:ascii="Arial" w:hAnsi="Arial" w:cs="Arial"/>
        </w:rPr>
        <w:t>M</w:t>
      </w:r>
      <w:r w:rsidRPr="00A0677E">
        <w:rPr>
          <w:rFonts w:ascii="Arial" w:hAnsi="Arial" w:cs="Arial"/>
        </w:rPr>
        <w:t xml:space="preserve">CAWS, the Ministry of State for the Community Charter, and the Community Charter Council conceded that such democratic reforms were problematic and ‘would have to wait </w:t>
      </w:r>
      <w:r w:rsidR="00B53023">
        <w:rPr>
          <w:rFonts w:ascii="Arial" w:hAnsi="Arial" w:cs="Arial"/>
        </w:rPr>
        <w:t xml:space="preserve">at least </w:t>
      </w:r>
      <w:r w:rsidRPr="00A0677E">
        <w:rPr>
          <w:rFonts w:ascii="Arial" w:hAnsi="Arial" w:cs="Arial"/>
        </w:rPr>
        <w:t>until 2004–2005</w:t>
      </w:r>
      <w:r w:rsidR="00B53023">
        <w:rPr>
          <w:rFonts w:ascii="Arial" w:hAnsi="Arial" w:cs="Arial"/>
        </w:rPr>
        <w:t xml:space="preserve"> - </w:t>
      </w:r>
      <w:r w:rsidRPr="00A0677E">
        <w:rPr>
          <w:rFonts w:ascii="Arial" w:hAnsi="Arial" w:cs="Arial"/>
          <w:i/>
        </w:rPr>
        <w:t xml:space="preserve">a timetable sufficient to prevent discussion of </w:t>
      </w:r>
      <w:r w:rsidR="006B1138">
        <w:rPr>
          <w:rFonts w:ascii="Arial" w:hAnsi="Arial" w:cs="Arial"/>
          <w:i/>
        </w:rPr>
        <w:t>such democratic</w:t>
      </w:r>
      <w:r w:rsidRPr="00A0677E">
        <w:rPr>
          <w:rFonts w:ascii="Arial" w:hAnsi="Arial" w:cs="Arial"/>
          <w:i/>
        </w:rPr>
        <w:t xml:space="preserve"> reforms through the next plus one municipal electoral cycle</w:t>
      </w:r>
      <w:r w:rsidRPr="00A0677E">
        <w:rPr>
          <w:rFonts w:ascii="Arial" w:hAnsi="Arial" w:cs="Arial"/>
        </w:rPr>
        <w:t xml:space="preserve">’ (Ministry of State for the Community Charter, 2002; emphasis added). In reality, as </w:t>
      </w:r>
      <w:r w:rsidR="006B1138">
        <w:rPr>
          <w:rFonts w:ascii="Arial" w:hAnsi="Arial" w:cs="Arial"/>
        </w:rPr>
        <w:t>subsequent</w:t>
      </w:r>
      <w:r w:rsidRPr="00A0677E">
        <w:rPr>
          <w:rFonts w:ascii="Arial" w:hAnsi="Arial" w:cs="Arial"/>
        </w:rPr>
        <w:t xml:space="preserve"> BC provincial government thinking attest</w:t>
      </w:r>
      <w:r w:rsidR="006B1138">
        <w:rPr>
          <w:rFonts w:ascii="Arial" w:hAnsi="Arial" w:cs="Arial"/>
        </w:rPr>
        <w:t>ed</w:t>
      </w:r>
      <w:r w:rsidRPr="00A0677E">
        <w:rPr>
          <w:rFonts w:ascii="Arial" w:hAnsi="Arial" w:cs="Arial"/>
        </w:rPr>
        <w:t xml:space="preserve">, no such reforms on accountability </w:t>
      </w:r>
      <w:r w:rsidR="006B1138">
        <w:rPr>
          <w:rFonts w:ascii="Arial" w:hAnsi="Arial" w:cs="Arial"/>
        </w:rPr>
        <w:t>we</w:t>
      </w:r>
      <w:r w:rsidRPr="00A0677E">
        <w:rPr>
          <w:rFonts w:ascii="Arial" w:hAnsi="Arial" w:cs="Arial"/>
        </w:rPr>
        <w:t>re</w:t>
      </w:r>
      <w:r w:rsidR="006B1138">
        <w:rPr>
          <w:rFonts w:ascii="Arial" w:hAnsi="Arial" w:cs="Arial"/>
        </w:rPr>
        <w:t xml:space="preserve"> anticipated before the May 17, 2005 Provincial General Election.</w:t>
      </w:r>
      <w:r w:rsidR="006B1138">
        <w:rPr>
          <w:rStyle w:val="FootnoteReference"/>
          <w:rFonts w:ascii="Arial" w:hAnsi="Arial" w:cs="Arial"/>
        </w:rPr>
        <w:footnoteReference w:id="2"/>
      </w:r>
    </w:p>
    <w:p w:rsidR="00DD7919" w:rsidRDefault="001948C1" w:rsidP="00016E6B">
      <w:pPr>
        <w:pStyle w:val="BodyTextIndent3"/>
        <w:spacing w:line="480" w:lineRule="auto"/>
        <w:rPr>
          <w:rFonts w:ascii="Arial" w:hAnsi="Arial" w:cs="Arial"/>
        </w:rPr>
      </w:pPr>
      <w:r w:rsidRPr="00A0677E">
        <w:rPr>
          <w:rFonts w:ascii="Arial" w:hAnsi="Arial" w:cs="Arial"/>
        </w:rPr>
        <w:t xml:space="preserve">After much delay to its </w:t>
      </w:r>
      <w:r w:rsidRPr="006B1138">
        <w:rPr>
          <w:rFonts w:ascii="Arial" w:hAnsi="Arial" w:cs="Arial"/>
          <w:i/>
        </w:rPr>
        <w:t>Community Charter</w:t>
      </w:r>
      <w:r w:rsidRPr="00A0677E">
        <w:rPr>
          <w:rFonts w:ascii="Arial" w:hAnsi="Arial" w:cs="Arial"/>
        </w:rPr>
        <w:t xml:space="preserve"> legislative reform package, the intention of the BC Liberal government had been to meet once more with the UBCM at its annual conference in Whistler, BC, in September 2002. The government then planned to introduce its </w:t>
      </w:r>
      <w:r w:rsidRPr="006B1138">
        <w:rPr>
          <w:rFonts w:ascii="Arial" w:hAnsi="Arial" w:cs="Arial"/>
          <w:i/>
        </w:rPr>
        <w:t>Community Charter</w:t>
      </w:r>
      <w:r w:rsidRPr="00A0677E">
        <w:rPr>
          <w:rFonts w:ascii="Arial" w:hAnsi="Arial" w:cs="Arial"/>
        </w:rPr>
        <w:t xml:space="preserve"> bill to the BC legislature for autumn 2002 </w:t>
      </w:r>
      <w:r w:rsidRPr="00A0677E">
        <w:rPr>
          <w:rFonts w:ascii="Arial" w:hAnsi="Arial" w:cs="Arial"/>
        </w:rPr>
        <w:lastRenderedPageBreak/>
        <w:t xml:space="preserve">approval. However, the more UBCM members considered the draft charter, the more concerns they expressed. For example, they found that while the </w:t>
      </w:r>
      <w:r w:rsidRPr="006B1138">
        <w:rPr>
          <w:rFonts w:ascii="Arial" w:hAnsi="Arial" w:cs="Arial"/>
          <w:i/>
        </w:rPr>
        <w:t>Community Charter</w:t>
      </w:r>
      <w:r w:rsidRPr="00A0677E">
        <w:rPr>
          <w:rFonts w:ascii="Arial" w:hAnsi="Arial" w:cs="Arial"/>
        </w:rPr>
        <w:t xml:space="preserve"> promised no provincial ‘downloading’ to municipalities without consultation and equivalent fiscal compensation, no such consideration was to be made when the province simply ‘off-loaded’ a responsibility or service.</w:t>
      </w:r>
      <w:r w:rsidR="006B1138">
        <w:rPr>
          <w:rFonts w:ascii="Arial" w:hAnsi="Arial" w:cs="Arial"/>
        </w:rPr>
        <w:t xml:space="preserve"> ‘Off-loading’, they discovered was when the senior provincial authority simply abandoned a service – often le</w:t>
      </w:r>
      <w:r w:rsidR="00DD7919">
        <w:rPr>
          <w:rFonts w:ascii="Arial" w:hAnsi="Arial" w:cs="Arial"/>
        </w:rPr>
        <w:t>aving local citizens pressuring local municipalities to restore these, but without provincial dollars</w:t>
      </w:r>
      <w:r w:rsidRPr="00A0677E">
        <w:rPr>
          <w:rFonts w:ascii="Arial" w:hAnsi="Arial" w:cs="Arial"/>
        </w:rPr>
        <w:t xml:space="preserve"> That meant that municipalities </w:t>
      </w:r>
      <w:r w:rsidR="00DD7919">
        <w:rPr>
          <w:rFonts w:ascii="Arial" w:hAnsi="Arial" w:cs="Arial"/>
        </w:rPr>
        <w:t>often</w:t>
      </w:r>
      <w:r w:rsidRPr="00A0677E">
        <w:rPr>
          <w:rFonts w:ascii="Arial" w:hAnsi="Arial" w:cs="Arial"/>
        </w:rPr>
        <w:t xml:space="preserve"> had to buy their community hospitals (as Kimberley, BC, did after provincial cuts forced its closure) or hold</w:t>
      </w:r>
      <w:r w:rsidR="00DD7919">
        <w:rPr>
          <w:rFonts w:ascii="Arial" w:hAnsi="Arial" w:cs="Arial"/>
        </w:rPr>
        <w:t xml:space="preserve"> a referendum</w:t>
      </w:r>
      <w:r w:rsidRPr="00A0677E">
        <w:rPr>
          <w:rFonts w:ascii="Arial" w:hAnsi="Arial" w:cs="Arial"/>
        </w:rPr>
        <w:t xml:space="preserve"> (as Delta did in the November 2002 municipal election to get voter approval for a local tax increase to fund its hospital emergency ward on a 24-hour basis as opposed to the ward operating only during the day and early evening</w:t>
      </w:r>
      <w:r w:rsidR="00DD7919">
        <w:rPr>
          <w:rFonts w:ascii="Arial" w:hAnsi="Arial" w:cs="Arial"/>
        </w:rPr>
        <w:t xml:space="preserve"> – due to provincial (i.e., provincially-appointed regional health board) cuts. </w:t>
      </w:r>
    </w:p>
    <w:p w:rsidR="00BA7F07" w:rsidRDefault="001948C1" w:rsidP="00016E6B">
      <w:pPr>
        <w:pStyle w:val="BodyTextIndent3"/>
        <w:spacing w:line="480" w:lineRule="auto"/>
        <w:rPr>
          <w:rFonts w:ascii="Arial" w:hAnsi="Arial" w:cs="Arial"/>
        </w:rPr>
      </w:pPr>
      <w:r w:rsidRPr="00A0677E">
        <w:rPr>
          <w:rFonts w:ascii="Arial" w:hAnsi="Arial" w:cs="Arial"/>
        </w:rPr>
        <w:t xml:space="preserve">The concerns raised by local governments meant another delay until spring 2003 as the new timetable for </w:t>
      </w:r>
      <w:r w:rsidR="005C50F0">
        <w:rPr>
          <w:rFonts w:ascii="Arial" w:hAnsi="Arial" w:cs="Arial"/>
        </w:rPr>
        <w:t xml:space="preserve">Charter </w:t>
      </w:r>
      <w:r w:rsidRPr="00A0677E">
        <w:rPr>
          <w:rFonts w:ascii="Arial" w:hAnsi="Arial" w:cs="Arial"/>
        </w:rPr>
        <w:t xml:space="preserve">legislative reform. That decision, and the time and energy devoted to the </w:t>
      </w:r>
      <w:r w:rsidR="00DD7919">
        <w:rPr>
          <w:rFonts w:ascii="Arial" w:hAnsi="Arial" w:cs="Arial"/>
        </w:rPr>
        <w:t xml:space="preserve">related </w:t>
      </w:r>
      <w:r w:rsidRPr="00A0677E">
        <w:rPr>
          <w:rFonts w:ascii="Arial" w:hAnsi="Arial" w:cs="Arial"/>
        </w:rPr>
        <w:t>‘transitionals’ and ‘consequentials’ Act (Bill 76)</w:t>
      </w:r>
      <w:r w:rsidR="00DD7919">
        <w:rPr>
          <w:rStyle w:val="FootnoteReference"/>
          <w:rFonts w:ascii="Arial" w:hAnsi="Arial" w:cs="Arial"/>
        </w:rPr>
        <w:footnoteReference w:id="3"/>
      </w:r>
      <w:r w:rsidRPr="00A0677E">
        <w:rPr>
          <w:rFonts w:ascii="Arial" w:hAnsi="Arial" w:cs="Arial"/>
        </w:rPr>
        <w:t>, pushed back any planned Phase II Community Charter regional district reforms until after the already announced</w:t>
      </w:r>
      <w:r w:rsidR="00DD7919">
        <w:rPr>
          <w:rFonts w:ascii="Arial" w:hAnsi="Arial" w:cs="Arial"/>
        </w:rPr>
        <w:t xml:space="preserve"> May, 2005 Provincial General Election.</w:t>
      </w:r>
      <w:r w:rsidRPr="00A0677E">
        <w:rPr>
          <w:rFonts w:ascii="Arial" w:hAnsi="Arial" w:cs="Arial"/>
        </w:rPr>
        <w:t xml:space="preserve">(Paget, 2004). It also meant that  serious local accountability reforms (Phase III) </w:t>
      </w:r>
      <w:r w:rsidR="007F7325">
        <w:rPr>
          <w:rFonts w:ascii="Arial" w:hAnsi="Arial" w:cs="Arial"/>
        </w:rPr>
        <w:t>were</w:t>
      </w:r>
      <w:r w:rsidRPr="00A0677E">
        <w:rPr>
          <w:rFonts w:ascii="Arial" w:hAnsi="Arial" w:cs="Arial"/>
        </w:rPr>
        <w:t xml:space="preserve"> </w:t>
      </w:r>
      <w:r w:rsidR="00BA7F07">
        <w:rPr>
          <w:rFonts w:ascii="Arial" w:hAnsi="Arial" w:cs="Arial"/>
        </w:rPr>
        <w:t xml:space="preserve">not </w:t>
      </w:r>
      <w:r w:rsidRPr="00A0677E">
        <w:rPr>
          <w:rFonts w:ascii="Arial" w:hAnsi="Arial" w:cs="Arial"/>
        </w:rPr>
        <w:t xml:space="preserve">anticipated in any second mandate (2005–9) for the BC Liberals (Walisser, 2004). </w:t>
      </w:r>
      <w:r w:rsidR="005C50F0">
        <w:rPr>
          <w:rFonts w:ascii="Arial" w:hAnsi="Arial" w:cs="Arial"/>
        </w:rPr>
        <w:t xml:space="preserve">Only so much legislative time could be devoted to such local reform matters. </w:t>
      </w:r>
      <w:r w:rsidRPr="00A0677E">
        <w:rPr>
          <w:rFonts w:ascii="Arial" w:hAnsi="Arial" w:cs="Arial"/>
        </w:rPr>
        <w:t xml:space="preserve">The key </w:t>
      </w:r>
      <w:r w:rsidR="00BA7F07">
        <w:rPr>
          <w:rFonts w:ascii="Arial" w:hAnsi="Arial" w:cs="Arial"/>
        </w:rPr>
        <w:t>legacy</w:t>
      </w:r>
      <w:r w:rsidRPr="00A0677E">
        <w:rPr>
          <w:rFonts w:ascii="Arial" w:hAnsi="Arial" w:cs="Arial"/>
        </w:rPr>
        <w:t xml:space="preserve"> test for the Campbell Liberals was whether accountability was a sufficient priority to </w:t>
      </w:r>
      <w:r w:rsidR="005C50F0">
        <w:rPr>
          <w:rFonts w:ascii="Arial" w:hAnsi="Arial" w:cs="Arial"/>
        </w:rPr>
        <w:t xml:space="preserve">not only </w:t>
      </w:r>
      <w:r w:rsidRPr="00A0677E">
        <w:rPr>
          <w:rFonts w:ascii="Arial" w:hAnsi="Arial" w:cs="Arial"/>
        </w:rPr>
        <w:t xml:space="preserve">be on the </w:t>
      </w:r>
      <w:r w:rsidRPr="00A0677E">
        <w:rPr>
          <w:rFonts w:ascii="Arial" w:hAnsi="Arial" w:cs="Arial"/>
        </w:rPr>
        <w:lastRenderedPageBreak/>
        <w:t>Government’s 2001–5 agenda</w:t>
      </w:r>
      <w:r w:rsidR="005C50F0">
        <w:rPr>
          <w:rFonts w:ascii="Arial" w:hAnsi="Arial" w:cs="Arial"/>
        </w:rPr>
        <w:t>, but carried through to a second term.</w:t>
      </w:r>
      <w:r w:rsidRPr="00A0677E">
        <w:rPr>
          <w:rFonts w:ascii="Arial" w:hAnsi="Arial" w:cs="Arial"/>
        </w:rPr>
        <w:t xml:space="preserve"> With Phase II and Phase III </w:t>
      </w:r>
      <w:r w:rsidR="005C50F0">
        <w:rPr>
          <w:rFonts w:ascii="Arial" w:hAnsi="Arial" w:cs="Arial"/>
        </w:rPr>
        <w:t xml:space="preserve">reforms </w:t>
      </w:r>
      <w:r w:rsidRPr="00A0677E">
        <w:rPr>
          <w:rFonts w:ascii="Arial" w:hAnsi="Arial" w:cs="Arial"/>
        </w:rPr>
        <w:t xml:space="preserve">of the </w:t>
      </w:r>
      <w:r w:rsidRPr="005C50F0">
        <w:rPr>
          <w:rFonts w:ascii="Arial" w:hAnsi="Arial" w:cs="Arial"/>
          <w:i/>
        </w:rPr>
        <w:t>Community Charter</w:t>
      </w:r>
      <w:r w:rsidRPr="00A0677E">
        <w:rPr>
          <w:rFonts w:ascii="Arial" w:hAnsi="Arial" w:cs="Arial"/>
        </w:rPr>
        <w:t xml:space="preserve"> falling off the provincial government’s to-do list, it </w:t>
      </w:r>
      <w:r w:rsidR="00BA7F07">
        <w:rPr>
          <w:rFonts w:ascii="Arial" w:hAnsi="Arial" w:cs="Arial"/>
        </w:rPr>
        <w:t>wa</w:t>
      </w:r>
      <w:r w:rsidRPr="00A0677E">
        <w:rPr>
          <w:rFonts w:ascii="Arial" w:hAnsi="Arial" w:cs="Arial"/>
        </w:rPr>
        <w:t>s likely to be a long incubation before real regional district and local governmental accountability reforms return</w:t>
      </w:r>
      <w:r w:rsidR="00BA7F07">
        <w:rPr>
          <w:rFonts w:ascii="Arial" w:hAnsi="Arial" w:cs="Arial"/>
        </w:rPr>
        <w:t>ed</w:t>
      </w:r>
      <w:r w:rsidRPr="00A0677E">
        <w:rPr>
          <w:rFonts w:ascii="Arial" w:hAnsi="Arial" w:cs="Arial"/>
        </w:rPr>
        <w:t xml:space="preserve"> to active policy consideration in British Columbia. </w:t>
      </w:r>
    </w:p>
    <w:p w:rsidR="001948C1" w:rsidRPr="00A0677E" w:rsidRDefault="001948C1" w:rsidP="00016E6B">
      <w:pPr>
        <w:pStyle w:val="BodyTextIndent3"/>
        <w:spacing w:line="480" w:lineRule="auto"/>
        <w:rPr>
          <w:rFonts w:ascii="Arial" w:hAnsi="Arial" w:cs="Arial"/>
          <w:b/>
        </w:rPr>
      </w:pPr>
      <w:r w:rsidRPr="00A0677E">
        <w:rPr>
          <w:rFonts w:ascii="Arial" w:hAnsi="Arial" w:cs="Arial"/>
        </w:rPr>
        <w:t>That may</w:t>
      </w:r>
      <w:r w:rsidR="00BA7F07">
        <w:rPr>
          <w:rFonts w:ascii="Arial" w:hAnsi="Arial" w:cs="Arial"/>
        </w:rPr>
        <w:t xml:space="preserve"> have</w:t>
      </w:r>
      <w:r w:rsidRPr="00A0677E">
        <w:rPr>
          <w:rFonts w:ascii="Arial" w:hAnsi="Arial" w:cs="Arial"/>
        </w:rPr>
        <w:t xml:space="preserve"> fit with Premier Campbell’s commitment to undertake a review of </w:t>
      </w:r>
      <w:r w:rsidRPr="00BA7F07">
        <w:rPr>
          <w:rFonts w:ascii="Arial" w:hAnsi="Arial" w:cs="Arial"/>
          <w:i/>
        </w:rPr>
        <w:t>provincial</w:t>
      </w:r>
      <w:r w:rsidRPr="00A0677E">
        <w:rPr>
          <w:rFonts w:ascii="Arial" w:hAnsi="Arial" w:cs="Arial"/>
        </w:rPr>
        <w:t xml:space="preserve"> electoral matters (Campbell, 2001)</w:t>
      </w:r>
      <w:r w:rsidRPr="00A0677E">
        <w:rPr>
          <w:rFonts w:ascii="Arial" w:hAnsi="Arial" w:cs="Arial"/>
          <w:szCs w:val="24"/>
          <w:vertAlign w:val="superscript"/>
        </w:rPr>
        <w:t>6</w:t>
      </w:r>
      <w:r w:rsidRPr="00A0677E">
        <w:rPr>
          <w:rFonts w:ascii="Arial" w:hAnsi="Arial" w:cs="Arial"/>
        </w:rPr>
        <w:t>—a process</w:t>
      </w:r>
      <w:r w:rsidR="005C50F0">
        <w:rPr>
          <w:rFonts w:ascii="Arial" w:hAnsi="Arial" w:cs="Arial"/>
        </w:rPr>
        <w:t xml:space="preserve"> centred on a Citizens’ Assembly and proposals to referendum on electoral reform. Those recommendations,</w:t>
      </w:r>
      <w:r w:rsidR="00BA7F07">
        <w:rPr>
          <w:rFonts w:ascii="Arial" w:hAnsi="Arial" w:cs="Arial"/>
        </w:rPr>
        <w:t xml:space="preserve"> even</w:t>
      </w:r>
      <w:r w:rsidRPr="00A0677E">
        <w:rPr>
          <w:rFonts w:ascii="Arial" w:hAnsi="Arial" w:cs="Arial"/>
        </w:rPr>
        <w:t xml:space="preserve"> if successful, would not</w:t>
      </w:r>
      <w:r w:rsidR="005C50F0">
        <w:rPr>
          <w:rFonts w:ascii="Arial" w:hAnsi="Arial" w:cs="Arial"/>
        </w:rPr>
        <w:t xml:space="preserve"> have </w:t>
      </w:r>
      <w:r w:rsidRPr="00A0677E">
        <w:rPr>
          <w:rFonts w:ascii="Arial" w:hAnsi="Arial" w:cs="Arial"/>
        </w:rPr>
        <w:t>br</w:t>
      </w:r>
      <w:r w:rsidR="005C50F0">
        <w:rPr>
          <w:rFonts w:ascii="Arial" w:hAnsi="Arial" w:cs="Arial"/>
        </w:rPr>
        <w:t>ought</w:t>
      </w:r>
      <w:r w:rsidRPr="00A0677E">
        <w:rPr>
          <w:rFonts w:ascii="Arial" w:hAnsi="Arial" w:cs="Arial"/>
        </w:rPr>
        <w:t xml:space="preserve"> </w:t>
      </w:r>
      <w:r w:rsidR="00BA7F07">
        <w:rPr>
          <w:rFonts w:ascii="Arial" w:hAnsi="Arial" w:cs="Arial"/>
        </w:rPr>
        <w:t>province-wide</w:t>
      </w:r>
      <w:r w:rsidRPr="00A0677E">
        <w:rPr>
          <w:rFonts w:ascii="Arial" w:hAnsi="Arial" w:cs="Arial"/>
        </w:rPr>
        <w:t xml:space="preserve"> electoral reform prior to </w:t>
      </w:r>
      <w:r w:rsidR="00BA7F07">
        <w:rPr>
          <w:rFonts w:ascii="Arial" w:hAnsi="Arial" w:cs="Arial"/>
        </w:rPr>
        <w:t>the</w:t>
      </w:r>
      <w:r w:rsidRPr="00A0677E">
        <w:rPr>
          <w:rFonts w:ascii="Arial" w:hAnsi="Arial" w:cs="Arial"/>
          <w:b/>
        </w:rPr>
        <w:t xml:space="preserve"> </w:t>
      </w:r>
      <w:r w:rsidRPr="00A0677E">
        <w:rPr>
          <w:rFonts w:ascii="Arial" w:hAnsi="Arial" w:cs="Arial"/>
        </w:rPr>
        <w:t>2009</w:t>
      </w:r>
      <w:r w:rsidR="00BA7F07">
        <w:rPr>
          <w:rFonts w:ascii="Arial" w:hAnsi="Arial" w:cs="Arial"/>
        </w:rPr>
        <w:t xml:space="preserve"> General Election.</w:t>
      </w:r>
      <w:r w:rsidR="005C50F0">
        <w:rPr>
          <w:rFonts w:ascii="Arial" w:hAnsi="Arial" w:cs="Arial"/>
        </w:rPr>
        <w:t xml:space="preserve"> Despite 57%+ support, it failed to meet ‘super-majority’ requirements.</w:t>
      </w:r>
    </w:p>
    <w:p w:rsidR="005B04B4" w:rsidRDefault="001948C1" w:rsidP="00016E6B">
      <w:pPr>
        <w:pStyle w:val="BodyTextIndent3"/>
        <w:spacing w:line="480" w:lineRule="auto"/>
        <w:rPr>
          <w:rFonts w:ascii="Arial" w:hAnsi="Arial" w:cs="Arial"/>
          <w:b/>
        </w:rPr>
      </w:pPr>
      <w:r w:rsidRPr="00A0677E">
        <w:rPr>
          <w:rFonts w:ascii="Arial" w:hAnsi="Arial" w:cs="Arial"/>
        </w:rPr>
        <w:t xml:space="preserve">As with previous NDP governments throughout the 1990s, the Liberals </w:t>
      </w:r>
      <w:r w:rsidR="00BA7F07">
        <w:rPr>
          <w:rFonts w:ascii="Arial" w:hAnsi="Arial" w:cs="Arial"/>
        </w:rPr>
        <w:t xml:space="preserve">were </w:t>
      </w:r>
      <w:r w:rsidR="005C50F0">
        <w:rPr>
          <w:rFonts w:ascii="Arial" w:hAnsi="Arial" w:cs="Arial"/>
        </w:rPr>
        <w:t>certainly</w:t>
      </w:r>
      <w:r w:rsidRPr="00A0677E">
        <w:rPr>
          <w:rFonts w:ascii="Arial" w:hAnsi="Arial" w:cs="Arial"/>
        </w:rPr>
        <w:t xml:space="preserve"> aware that if they </w:t>
      </w:r>
      <w:r w:rsidR="00BA7F07">
        <w:rPr>
          <w:rFonts w:ascii="Arial" w:hAnsi="Arial" w:cs="Arial"/>
        </w:rPr>
        <w:t>were</w:t>
      </w:r>
      <w:r w:rsidRPr="00A0677E">
        <w:rPr>
          <w:rFonts w:ascii="Arial" w:hAnsi="Arial" w:cs="Arial"/>
        </w:rPr>
        <w:t xml:space="preserve"> bring</w:t>
      </w:r>
      <w:r w:rsidR="00BA7F07">
        <w:rPr>
          <w:rFonts w:ascii="Arial" w:hAnsi="Arial" w:cs="Arial"/>
        </w:rPr>
        <w:t>ing</w:t>
      </w:r>
      <w:r w:rsidRPr="00A0677E">
        <w:rPr>
          <w:rFonts w:ascii="Arial" w:hAnsi="Arial" w:cs="Arial"/>
        </w:rPr>
        <w:t xml:space="preserve"> </w:t>
      </w:r>
      <w:r w:rsidR="00BA7F07">
        <w:rPr>
          <w:rFonts w:ascii="Arial" w:hAnsi="Arial" w:cs="Arial"/>
        </w:rPr>
        <w:t xml:space="preserve">local </w:t>
      </w:r>
      <w:r w:rsidRPr="00A0677E">
        <w:rPr>
          <w:rFonts w:ascii="Arial" w:hAnsi="Arial" w:cs="Arial"/>
        </w:rPr>
        <w:t xml:space="preserve">efficiency through decentralization they also </w:t>
      </w:r>
      <w:r w:rsidR="005C50F0">
        <w:rPr>
          <w:rFonts w:ascii="Arial" w:hAnsi="Arial" w:cs="Arial"/>
        </w:rPr>
        <w:t xml:space="preserve">needed to </w:t>
      </w:r>
      <w:r w:rsidRPr="00A0677E">
        <w:rPr>
          <w:rFonts w:ascii="Arial" w:hAnsi="Arial" w:cs="Arial"/>
        </w:rPr>
        <w:t xml:space="preserve">empower local citizens with the appropriate tools to help them hold local officials responsible for their actions. Although </w:t>
      </w:r>
      <w:r w:rsidRPr="00BA7F07">
        <w:rPr>
          <w:rFonts w:ascii="Arial" w:hAnsi="Arial" w:cs="Arial"/>
          <w:i/>
        </w:rPr>
        <w:t>Community Charter</w:t>
      </w:r>
      <w:r w:rsidRPr="00A0677E">
        <w:rPr>
          <w:rFonts w:ascii="Arial" w:hAnsi="Arial" w:cs="Arial"/>
        </w:rPr>
        <w:t xml:space="preserve"> provisions for annual reports and revised conflict of interest legislation </w:t>
      </w:r>
      <w:r w:rsidR="00BA7F07">
        <w:rPr>
          <w:rFonts w:ascii="Arial" w:hAnsi="Arial" w:cs="Arial"/>
        </w:rPr>
        <w:t>we</w:t>
      </w:r>
      <w:r w:rsidRPr="00A0677E">
        <w:rPr>
          <w:rFonts w:ascii="Arial" w:hAnsi="Arial" w:cs="Arial"/>
        </w:rPr>
        <w:t xml:space="preserve">re a start, these efficiency measures </w:t>
      </w:r>
      <w:r w:rsidR="005C50F0">
        <w:rPr>
          <w:rFonts w:ascii="Arial" w:hAnsi="Arial" w:cs="Arial"/>
        </w:rPr>
        <w:t>could</w:t>
      </w:r>
      <w:r w:rsidRPr="00A0677E">
        <w:rPr>
          <w:rFonts w:ascii="Arial" w:hAnsi="Arial" w:cs="Arial"/>
        </w:rPr>
        <w:t xml:space="preserve"> be effective only if barriers to electoral participation </w:t>
      </w:r>
      <w:r w:rsidR="005C50F0">
        <w:rPr>
          <w:rFonts w:ascii="Arial" w:hAnsi="Arial" w:cs="Arial"/>
        </w:rPr>
        <w:t>we</w:t>
      </w:r>
      <w:r w:rsidRPr="00A0677E">
        <w:rPr>
          <w:rFonts w:ascii="Arial" w:hAnsi="Arial" w:cs="Arial"/>
        </w:rPr>
        <w:t xml:space="preserve">re lowered, local elector organizations </w:t>
      </w:r>
      <w:r w:rsidR="005C50F0">
        <w:rPr>
          <w:rFonts w:ascii="Arial" w:hAnsi="Arial" w:cs="Arial"/>
        </w:rPr>
        <w:t>we</w:t>
      </w:r>
      <w:r w:rsidRPr="00A0677E">
        <w:rPr>
          <w:rFonts w:ascii="Arial" w:hAnsi="Arial" w:cs="Arial"/>
        </w:rPr>
        <w:t>re helped to mature,</w:t>
      </w:r>
      <w:r w:rsidR="00BA7F07">
        <w:rPr>
          <w:rFonts w:ascii="Arial" w:hAnsi="Arial" w:cs="Arial"/>
        </w:rPr>
        <w:t xml:space="preserve"> local elections finance </w:t>
      </w:r>
      <w:r w:rsidR="005C50F0">
        <w:rPr>
          <w:rFonts w:ascii="Arial" w:hAnsi="Arial" w:cs="Arial"/>
        </w:rPr>
        <w:t>wa</w:t>
      </w:r>
      <w:r w:rsidR="00BA7F07">
        <w:rPr>
          <w:rFonts w:ascii="Arial" w:hAnsi="Arial" w:cs="Arial"/>
        </w:rPr>
        <w:t>s</w:t>
      </w:r>
      <w:r w:rsidR="005C50F0">
        <w:rPr>
          <w:rFonts w:ascii="Arial" w:hAnsi="Arial" w:cs="Arial"/>
        </w:rPr>
        <w:t xml:space="preserve"> dramatically</w:t>
      </w:r>
      <w:r w:rsidR="00BA7F07">
        <w:rPr>
          <w:rFonts w:ascii="Arial" w:hAnsi="Arial" w:cs="Arial"/>
        </w:rPr>
        <w:t xml:space="preserve"> reformed</w:t>
      </w:r>
      <w:r w:rsidRPr="00A0677E">
        <w:rPr>
          <w:rFonts w:ascii="Arial" w:hAnsi="Arial" w:cs="Arial"/>
        </w:rPr>
        <w:t xml:space="preserve"> and council seats </w:t>
      </w:r>
      <w:r w:rsidR="005C50F0">
        <w:rPr>
          <w:rFonts w:ascii="Arial" w:hAnsi="Arial" w:cs="Arial"/>
        </w:rPr>
        <w:t>we</w:t>
      </w:r>
      <w:r w:rsidRPr="00A0677E">
        <w:rPr>
          <w:rFonts w:ascii="Arial" w:hAnsi="Arial" w:cs="Arial"/>
        </w:rPr>
        <w:t>re distributed more fairly.</w:t>
      </w:r>
      <w:bookmarkStart w:id="1" w:name="_Toc15729518"/>
      <w:r w:rsidRPr="00A0677E">
        <w:rPr>
          <w:rFonts w:ascii="Arial" w:hAnsi="Arial" w:cs="Arial"/>
        </w:rPr>
        <w:t xml:space="preserve"> These </w:t>
      </w:r>
      <w:r w:rsidR="005C50F0">
        <w:rPr>
          <w:rFonts w:ascii="Arial" w:hAnsi="Arial" w:cs="Arial"/>
        </w:rPr>
        <w:t>reform</w:t>
      </w:r>
      <w:r w:rsidRPr="00A0677E">
        <w:rPr>
          <w:rFonts w:ascii="Arial" w:hAnsi="Arial" w:cs="Arial"/>
        </w:rPr>
        <w:t xml:space="preserve"> considerations </w:t>
      </w:r>
      <w:r w:rsidR="00BA7F07">
        <w:rPr>
          <w:rFonts w:ascii="Arial" w:hAnsi="Arial" w:cs="Arial"/>
        </w:rPr>
        <w:t>we</w:t>
      </w:r>
      <w:r w:rsidRPr="00A0677E">
        <w:rPr>
          <w:rFonts w:ascii="Arial" w:hAnsi="Arial" w:cs="Arial"/>
        </w:rPr>
        <w:t>re only evident in the City of Vancouver</w:t>
      </w:r>
      <w:r w:rsidR="00BA7F07">
        <w:rPr>
          <w:rFonts w:ascii="Arial" w:hAnsi="Arial" w:cs="Arial"/>
        </w:rPr>
        <w:t xml:space="preserve"> – through </w:t>
      </w:r>
      <w:r w:rsidRPr="00A0677E">
        <w:rPr>
          <w:rFonts w:ascii="Arial" w:hAnsi="Arial" w:cs="Arial"/>
        </w:rPr>
        <w:t>its (Berger) Electoral Reform Commission</w:t>
      </w:r>
      <w:r w:rsidRPr="00A0677E">
        <w:rPr>
          <w:rFonts w:ascii="Arial" w:hAnsi="Arial" w:cs="Arial"/>
          <w:b/>
        </w:rPr>
        <w:t xml:space="preserve"> </w:t>
      </w:r>
      <w:r w:rsidR="00BA7F07" w:rsidRPr="00BA7F07">
        <w:rPr>
          <w:rFonts w:ascii="Arial" w:hAnsi="Arial" w:cs="Arial"/>
        </w:rPr>
        <w:t>with a November, 2005 referendum during the city election.</w:t>
      </w:r>
      <w:r w:rsidR="00BA7F07">
        <w:rPr>
          <w:rStyle w:val="FootnoteReference"/>
          <w:rFonts w:ascii="Arial" w:hAnsi="Arial" w:cs="Arial"/>
        </w:rPr>
        <w:footnoteReference w:id="4"/>
      </w:r>
      <w:r w:rsidRPr="00A0677E">
        <w:rPr>
          <w:rFonts w:ascii="Arial" w:hAnsi="Arial" w:cs="Arial"/>
          <w:b/>
        </w:rPr>
        <w:t xml:space="preserve"> </w:t>
      </w:r>
      <w:r w:rsidR="005B04B4">
        <w:rPr>
          <w:rFonts w:ascii="Arial" w:hAnsi="Arial" w:cs="Arial"/>
          <w:b/>
        </w:rPr>
        <w:t xml:space="preserve"> </w:t>
      </w:r>
    </w:p>
    <w:p w:rsidR="001948C1" w:rsidRPr="00A0677E" w:rsidRDefault="005B04B4" w:rsidP="00016E6B">
      <w:pPr>
        <w:pStyle w:val="BodyTextIndent3"/>
        <w:spacing w:line="480" w:lineRule="auto"/>
        <w:rPr>
          <w:rFonts w:ascii="Arial" w:hAnsi="Arial" w:cs="Arial"/>
          <w:b/>
        </w:rPr>
      </w:pPr>
      <w:r w:rsidRPr="005B04B4">
        <w:rPr>
          <w:rFonts w:ascii="Arial" w:hAnsi="Arial" w:cs="Arial"/>
        </w:rPr>
        <w:lastRenderedPageBreak/>
        <w:t>BC’s</w:t>
      </w:r>
      <w:r>
        <w:rPr>
          <w:rFonts w:ascii="Arial" w:hAnsi="Arial" w:cs="Arial"/>
        </w:rPr>
        <w:t xml:space="preserve"> biggest local democratic problem has been that the larger the municipality, the lower the voter turnout</w:t>
      </w:r>
    </w:p>
    <w:p w:rsidR="001948C1" w:rsidRPr="00A0677E" w:rsidRDefault="001948C1" w:rsidP="00016E6B">
      <w:pPr>
        <w:pStyle w:val="Caption"/>
        <w:spacing w:after="0" w:line="480" w:lineRule="auto"/>
        <w:rPr>
          <w:rFonts w:ascii="Arial" w:hAnsi="Arial" w:cs="Arial"/>
        </w:rPr>
      </w:pPr>
      <w:r w:rsidRPr="00A0677E">
        <w:rPr>
          <w:rFonts w:ascii="Arial" w:hAnsi="Arial" w:cs="Arial"/>
        </w:rPr>
        <w:t>Figure 2.</w:t>
      </w:r>
      <w:r w:rsidRPr="00A0677E">
        <w:rPr>
          <w:rFonts w:ascii="Arial" w:hAnsi="Arial" w:cs="Arial"/>
        </w:rPr>
        <w:fldChar w:fldCharType="begin"/>
      </w:r>
      <w:r w:rsidRPr="00A0677E">
        <w:rPr>
          <w:rFonts w:ascii="Arial" w:hAnsi="Arial" w:cs="Arial"/>
        </w:rPr>
        <w:instrText xml:space="preserve"> SEQ Figure \* ARABIC </w:instrText>
      </w:r>
      <w:r w:rsidRPr="00A0677E">
        <w:rPr>
          <w:rFonts w:ascii="Arial" w:hAnsi="Arial" w:cs="Arial"/>
        </w:rPr>
        <w:fldChar w:fldCharType="separate"/>
      </w:r>
      <w:r w:rsidRPr="00A0677E">
        <w:rPr>
          <w:rFonts w:ascii="Arial" w:hAnsi="Arial" w:cs="Arial"/>
          <w:noProof/>
        </w:rPr>
        <w:t>1</w:t>
      </w:r>
      <w:r w:rsidRPr="00A0677E">
        <w:rPr>
          <w:rFonts w:ascii="Arial" w:hAnsi="Arial" w:cs="Arial"/>
        </w:rPr>
        <w:fldChar w:fldCharType="end"/>
      </w:r>
      <w:r w:rsidRPr="00A0677E">
        <w:rPr>
          <w:rFonts w:ascii="Arial" w:hAnsi="Arial" w:cs="Arial"/>
        </w:rPr>
        <w:t xml:space="preserve">  Voter Turnout in British Columbia Municipal Elections, 1986–96</w:t>
      </w:r>
    </w:p>
    <w:p w:rsidR="001948C1" w:rsidRPr="00A0677E" w:rsidRDefault="001948C1" w:rsidP="00016E6B">
      <w:pPr>
        <w:keepNext/>
        <w:keepLines/>
        <w:spacing w:line="480" w:lineRule="auto"/>
        <w:jc w:val="both"/>
        <w:rPr>
          <w:rFonts w:cs="Arial"/>
        </w:rPr>
      </w:pPr>
      <w:r w:rsidRPr="00A0677E">
        <w:rPr>
          <w:rFonts w:cs="Arial"/>
          <w:noProof/>
          <w:sz w:val="20"/>
          <w:lang w:val="en-CA" w:eastAsia="en-CA"/>
        </w:rPr>
        <w:drawing>
          <wp:inline distT="0" distB="0" distL="0" distR="0" wp14:anchorId="4ABA6301" wp14:editId="6B750BE1">
            <wp:extent cx="4857750" cy="320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7750" cy="3200400"/>
                    </a:xfrm>
                    <a:prstGeom prst="rect">
                      <a:avLst/>
                    </a:prstGeom>
                    <a:noFill/>
                    <a:ln>
                      <a:noFill/>
                    </a:ln>
                  </pic:spPr>
                </pic:pic>
              </a:graphicData>
            </a:graphic>
          </wp:inline>
        </w:drawing>
      </w:r>
    </w:p>
    <w:p w:rsidR="001948C1" w:rsidRPr="00A0677E" w:rsidRDefault="001948C1" w:rsidP="00016E6B">
      <w:pPr>
        <w:pStyle w:val="BodyTextIndent3"/>
        <w:spacing w:line="480" w:lineRule="auto"/>
        <w:rPr>
          <w:rFonts w:ascii="Arial" w:hAnsi="Arial" w:cs="Arial"/>
          <w:szCs w:val="24"/>
        </w:rPr>
      </w:pPr>
      <w:r w:rsidRPr="00A0677E">
        <w:rPr>
          <w:rFonts w:ascii="Arial" w:hAnsi="Arial" w:cs="Arial"/>
        </w:rPr>
        <w:t xml:space="preserve">Thus the </w:t>
      </w:r>
      <w:r w:rsidR="005C50F0">
        <w:rPr>
          <w:rFonts w:ascii="Arial" w:hAnsi="Arial" w:cs="Arial"/>
        </w:rPr>
        <w:t xml:space="preserve">local government reform </w:t>
      </w:r>
      <w:r w:rsidRPr="00A0677E">
        <w:rPr>
          <w:rFonts w:ascii="Arial" w:hAnsi="Arial" w:cs="Arial"/>
        </w:rPr>
        <w:t>picture</w:t>
      </w:r>
      <w:r w:rsidR="005B04B4">
        <w:rPr>
          <w:rFonts w:ascii="Arial" w:hAnsi="Arial" w:cs="Arial"/>
        </w:rPr>
        <w:t xml:space="preserve"> at</w:t>
      </w:r>
      <w:r w:rsidRPr="00A0677E">
        <w:rPr>
          <w:rFonts w:ascii="Arial" w:hAnsi="Arial" w:cs="Arial"/>
        </w:rPr>
        <w:t xml:space="preserve"> the end of the first Campbell mandate </w:t>
      </w:r>
      <w:r w:rsidR="005B04B4">
        <w:rPr>
          <w:rFonts w:ascii="Arial" w:hAnsi="Arial" w:cs="Arial"/>
        </w:rPr>
        <w:t>had gone from promising to uncertain</w:t>
      </w:r>
      <w:r w:rsidRPr="00A0677E">
        <w:rPr>
          <w:rFonts w:ascii="Arial" w:hAnsi="Arial" w:cs="Arial"/>
        </w:rPr>
        <w:t xml:space="preserve">. </w:t>
      </w:r>
      <w:r w:rsidRPr="00A0677E">
        <w:rPr>
          <w:rFonts w:ascii="Arial" w:hAnsi="Arial" w:cs="Arial"/>
          <w:szCs w:val="24"/>
        </w:rPr>
        <w:t xml:space="preserve">The </w:t>
      </w:r>
      <w:r w:rsidRPr="005B04B4">
        <w:rPr>
          <w:rFonts w:ascii="Arial" w:hAnsi="Arial" w:cs="Arial"/>
          <w:i/>
          <w:szCs w:val="24"/>
        </w:rPr>
        <w:t>Community Charter</w:t>
      </w:r>
      <w:r w:rsidRPr="00A0677E">
        <w:rPr>
          <w:rFonts w:ascii="Arial" w:hAnsi="Arial" w:cs="Arial"/>
          <w:szCs w:val="24"/>
        </w:rPr>
        <w:t xml:space="preserve"> (Bill 14), in place since 1 January 2004, set out its purpose in language recognizable to at least some advocates of modest home rule. </w:t>
      </w:r>
      <w:r w:rsidR="005B04B4">
        <w:rPr>
          <w:rFonts w:ascii="Arial" w:hAnsi="Arial" w:cs="Arial"/>
          <w:szCs w:val="24"/>
        </w:rPr>
        <w:t xml:space="preserve">It </w:t>
      </w:r>
      <w:r w:rsidRPr="00A0677E">
        <w:rPr>
          <w:rFonts w:ascii="Arial" w:hAnsi="Arial" w:cs="Arial"/>
          <w:szCs w:val="24"/>
        </w:rPr>
        <w:t>also include</w:t>
      </w:r>
      <w:r w:rsidR="005B04B4">
        <w:rPr>
          <w:rFonts w:ascii="Arial" w:hAnsi="Arial" w:cs="Arial"/>
          <w:szCs w:val="24"/>
        </w:rPr>
        <w:t>d</w:t>
      </w:r>
      <w:r w:rsidRPr="00A0677E">
        <w:rPr>
          <w:rFonts w:ascii="Arial" w:hAnsi="Arial" w:cs="Arial"/>
          <w:szCs w:val="24"/>
        </w:rPr>
        <w:t xml:space="preserve"> language that constitutional scholars</w:t>
      </w:r>
      <w:r w:rsidR="005B04B4">
        <w:rPr>
          <w:rFonts w:ascii="Arial" w:hAnsi="Arial" w:cs="Arial"/>
          <w:szCs w:val="24"/>
        </w:rPr>
        <w:t xml:space="preserve"> would</w:t>
      </w:r>
      <w:r w:rsidRPr="00A0677E">
        <w:rPr>
          <w:rFonts w:ascii="Arial" w:hAnsi="Arial" w:cs="Arial"/>
          <w:szCs w:val="24"/>
        </w:rPr>
        <w:t xml:space="preserve"> recognize as maintaining the provincial jurisdictional oversight</w:t>
      </w:r>
      <w:r w:rsidR="005B04B4">
        <w:rPr>
          <w:rFonts w:ascii="Arial" w:hAnsi="Arial" w:cs="Arial"/>
          <w:szCs w:val="24"/>
        </w:rPr>
        <w:t xml:space="preserve"> envisioned in </w:t>
      </w:r>
      <w:r w:rsidR="00567784">
        <w:rPr>
          <w:rFonts w:ascii="Arial" w:hAnsi="Arial" w:cs="Arial"/>
          <w:szCs w:val="24"/>
        </w:rPr>
        <w:t>S</w:t>
      </w:r>
      <w:r w:rsidR="00567784" w:rsidRPr="00A0677E">
        <w:rPr>
          <w:rFonts w:ascii="Arial" w:hAnsi="Arial" w:cs="Arial"/>
          <w:szCs w:val="24"/>
        </w:rPr>
        <w:t>ection</w:t>
      </w:r>
      <w:r w:rsidRPr="00A0677E">
        <w:rPr>
          <w:rFonts w:ascii="Arial" w:hAnsi="Arial" w:cs="Arial"/>
          <w:szCs w:val="24"/>
        </w:rPr>
        <w:t xml:space="preserve"> 92[8] of the Constitution Act, 1867. This is clearest in the </w:t>
      </w:r>
      <w:r w:rsidRPr="005B04B4">
        <w:rPr>
          <w:rFonts w:ascii="Arial" w:hAnsi="Arial" w:cs="Arial"/>
          <w:b/>
          <w:szCs w:val="24"/>
          <w:u w:val="single"/>
        </w:rPr>
        <w:t>purposes</w:t>
      </w:r>
      <w:r w:rsidRPr="00A0677E">
        <w:rPr>
          <w:rFonts w:ascii="Arial" w:hAnsi="Arial" w:cs="Arial"/>
          <w:szCs w:val="24"/>
        </w:rPr>
        <w:t xml:space="preserve"> of the new Community Charter: </w:t>
      </w:r>
    </w:p>
    <w:p w:rsidR="001948C1" w:rsidRPr="005B04B4" w:rsidRDefault="001948C1" w:rsidP="005C50F0">
      <w:pPr>
        <w:pStyle w:val="indentlevel1"/>
        <w:spacing w:before="0" w:beforeAutospacing="0" w:after="0" w:afterAutospacing="0"/>
        <w:ind w:left="720" w:right="720"/>
        <w:jc w:val="both"/>
        <w:rPr>
          <w:rFonts w:ascii="Arial" w:hAnsi="Arial" w:cs="Arial"/>
          <w:sz w:val="20"/>
          <w:szCs w:val="20"/>
        </w:rPr>
      </w:pPr>
      <w:bookmarkStart w:id="2" w:name="section003"/>
      <w:bookmarkEnd w:id="2"/>
      <w:r w:rsidRPr="005B04B4">
        <w:rPr>
          <w:rFonts w:ascii="Arial" w:hAnsi="Arial" w:cs="Arial"/>
          <w:bCs/>
          <w:sz w:val="20"/>
          <w:szCs w:val="20"/>
        </w:rPr>
        <w:t>3.</w:t>
      </w:r>
      <w:r w:rsidRPr="005B04B4">
        <w:rPr>
          <w:rFonts w:ascii="Arial" w:hAnsi="Arial" w:cs="Arial"/>
          <w:sz w:val="20"/>
          <w:szCs w:val="20"/>
        </w:rPr>
        <w:t xml:space="preserve"> The purposes of this Act are to provide municipalities and their councils with</w:t>
      </w:r>
    </w:p>
    <w:p w:rsidR="00CD0E53" w:rsidRDefault="001948C1" w:rsidP="005C50F0">
      <w:pPr>
        <w:pStyle w:val="indentlevel2"/>
        <w:spacing w:before="0" w:beforeAutospacing="0" w:after="0" w:afterAutospacing="0"/>
        <w:ind w:left="720" w:right="720"/>
        <w:jc w:val="both"/>
        <w:rPr>
          <w:rFonts w:ascii="Arial" w:hAnsi="Arial" w:cs="Arial"/>
          <w:sz w:val="20"/>
          <w:szCs w:val="20"/>
        </w:rPr>
      </w:pPr>
      <w:r w:rsidRPr="005B04B4">
        <w:rPr>
          <w:rFonts w:ascii="Arial" w:hAnsi="Arial" w:cs="Arial"/>
          <w:sz w:val="20"/>
          <w:szCs w:val="20"/>
        </w:rPr>
        <w:t xml:space="preserve">(a) a legal framework for the powers, duties and functions that are necessary to fulfill </w:t>
      </w:r>
    </w:p>
    <w:p w:rsidR="001948C1" w:rsidRPr="005B04B4" w:rsidRDefault="001948C1" w:rsidP="005C50F0">
      <w:pPr>
        <w:pStyle w:val="indentlevel2"/>
        <w:spacing w:before="0" w:beforeAutospacing="0" w:after="0" w:afterAutospacing="0"/>
        <w:ind w:left="720" w:right="720"/>
        <w:jc w:val="both"/>
        <w:rPr>
          <w:rFonts w:ascii="Arial" w:hAnsi="Arial" w:cs="Arial"/>
          <w:sz w:val="20"/>
          <w:szCs w:val="20"/>
        </w:rPr>
      </w:pPr>
      <w:r w:rsidRPr="005B04B4">
        <w:rPr>
          <w:rFonts w:ascii="Arial" w:hAnsi="Arial" w:cs="Arial"/>
          <w:sz w:val="20"/>
          <w:szCs w:val="20"/>
        </w:rPr>
        <w:t>their purposes,</w:t>
      </w:r>
    </w:p>
    <w:p w:rsidR="001948C1" w:rsidRPr="005B04B4" w:rsidRDefault="001948C1" w:rsidP="005C50F0">
      <w:pPr>
        <w:pStyle w:val="indentlevel2"/>
        <w:spacing w:before="0" w:beforeAutospacing="0" w:after="0" w:afterAutospacing="0"/>
        <w:ind w:left="720" w:right="720"/>
        <w:jc w:val="both"/>
        <w:rPr>
          <w:rFonts w:ascii="Arial" w:hAnsi="Arial" w:cs="Arial"/>
          <w:sz w:val="20"/>
          <w:szCs w:val="20"/>
        </w:rPr>
      </w:pPr>
      <w:r w:rsidRPr="005B04B4">
        <w:rPr>
          <w:rFonts w:ascii="Arial" w:hAnsi="Arial" w:cs="Arial"/>
          <w:sz w:val="20"/>
          <w:szCs w:val="20"/>
        </w:rPr>
        <w:t>(b) the authority and discretion to address existing and future community needs, and</w:t>
      </w:r>
    </w:p>
    <w:p w:rsidR="001948C1" w:rsidRPr="005B04B4" w:rsidRDefault="001948C1" w:rsidP="005C50F0">
      <w:pPr>
        <w:pStyle w:val="indentlevel2"/>
        <w:spacing w:before="0" w:beforeAutospacing="0" w:after="0" w:afterAutospacing="0"/>
        <w:ind w:left="720" w:right="720"/>
        <w:jc w:val="both"/>
        <w:rPr>
          <w:rFonts w:ascii="Arial" w:hAnsi="Arial" w:cs="Arial"/>
          <w:sz w:val="20"/>
          <w:szCs w:val="20"/>
        </w:rPr>
      </w:pPr>
      <w:r w:rsidRPr="005B04B4">
        <w:rPr>
          <w:rFonts w:ascii="Arial" w:hAnsi="Arial" w:cs="Arial"/>
          <w:sz w:val="20"/>
          <w:szCs w:val="20"/>
        </w:rPr>
        <w:t>(c) the flexibility to determine the public interest of their communities and to respond to the different needs and changing circumstances of their communities.</w:t>
      </w:r>
      <w:r w:rsidRPr="005B04B4">
        <w:rPr>
          <w:rFonts w:ascii="Arial" w:hAnsi="Arial" w:cs="Arial"/>
          <w:sz w:val="20"/>
          <w:szCs w:val="20"/>
          <w:vertAlign w:val="superscript"/>
        </w:rPr>
        <w:t>7</w:t>
      </w:r>
    </w:p>
    <w:p w:rsidR="005B04B4" w:rsidRPr="005B04B4" w:rsidRDefault="005B04B4" w:rsidP="00016E6B">
      <w:pPr>
        <w:pStyle w:val="indentlevel2"/>
        <w:spacing w:before="0" w:beforeAutospacing="0" w:after="0" w:afterAutospacing="0" w:line="480" w:lineRule="auto"/>
        <w:ind w:left="0" w:firstLine="720"/>
        <w:jc w:val="both"/>
        <w:rPr>
          <w:rFonts w:ascii="Arial" w:hAnsi="Arial" w:cs="Arial"/>
          <w:sz w:val="16"/>
          <w:szCs w:val="16"/>
        </w:rPr>
      </w:pPr>
    </w:p>
    <w:p w:rsidR="001948C1" w:rsidRPr="00A0677E" w:rsidRDefault="001948C1" w:rsidP="00016E6B">
      <w:pPr>
        <w:pStyle w:val="indentlevel2"/>
        <w:spacing w:before="0" w:beforeAutospacing="0" w:after="0" w:afterAutospacing="0" w:line="480" w:lineRule="auto"/>
        <w:ind w:left="0" w:firstLine="720"/>
        <w:jc w:val="both"/>
        <w:rPr>
          <w:rFonts w:ascii="Arial" w:hAnsi="Arial" w:cs="Arial"/>
        </w:rPr>
      </w:pPr>
      <w:r w:rsidRPr="00A0677E">
        <w:rPr>
          <w:rFonts w:ascii="Arial" w:hAnsi="Arial" w:cs="Arial"/>
        </w:rPr>
        <w:lastRenderedPageBreak/>
        <w:t xml:space="preserve">The </w:t>
      </w:r>
      <w:r w:rsidRPr="005B04B4">
        <w:rPr>
          <w:rFonts w:ascii="Arial" w:hAnsi="Arial" w:cs="Arial"/>
          <w:b/>
          <w:u w:val="single"/>
        </w:rPr>
        <w:t>principles</w:t>
      </w:r>
      <w:r w:rsidRPr="00A0677E">
        <w:rPr>
          <w:rFonts w:ascii="Arial" w:hAnsi="Arial" w:cs="Arial"/>
        </w:rPr>
        <w:t xml:space="preserve"> of the Act sound close to the views of advocate</w:t>
      </w:r>
      <w:r w:rsidR="00B86E17">
        <w:rPr>
          <w:rFonts w:ascii="Arial" w:hAnsi="Arial" w:cs="Arial"/>
        </w:rPr>
        <w:t>s of</w:t>
      </w:r>
      <w:r w:rsidRPr="00A0677E">
        <w:rPr>
          <w:rFonts w:ascii="Arial" w:hAnsi="Arial" w:cs="Arial"/>
        </w:rPr>
        <w:t xml:space="preserve"> local autonomy. They reflect</w:t>
      </w:r>
      <w:r w:rsidR="005B04B4">
        <w:rPr>
          <w:rFonts w:ascii="Arial" w:hAnsi="Arial" w:cs="Arial"/>
        </w:rPr>
        <w:t>ed</w:t>
      </w:r>
      <w:r w:rsidRPr="00A0677E">
        <w:rPr>
          <w:rFonts w:ascii="Arial" w:hAnsi="Arial" w:cs="Arial"/>
        </w:rPr>
        <w:t xml:space="preserve"> a stated desire to clarify both municipal and provincial components of the provincial-municipal relationship in British Columbia and, potentially, to add to local autonomy:</w:t>
      </w:r>
    </w:p>
    <w:p w:rsidR="001948C1" w:rsidRPr="005B04B4" w:rsidRDefault="001948C1" w:rsidP="00CD0E53">
      <w:pPr>
        <w:pStyle w:val="NormalWeb"/>
        <w:spacing w:before="0" w:beforeAutospacing="0" w:after="0" w:afterAutospacing="0"/>
        <w:ind w:firstLine="0"/>
        <w:jc w:val="both"/>
      </w:pPr>
      <w:bookmarkStart w:id="3" w:name="section004"/>
      <w:bookmarkStart w:id="4" w:name="section005"/>
      <w:bookmarkStart w:id="5" w:name="Part01"/>
      <w:bookmarkEnd w:id="3"/>
      <w:bookmarkEnd w:id="4"/>
      <w:bookmarkEnd w:id="5"/>
      <w:r w:rsidRPr="005B04B4">
        <w:t xml:space="preserve">Principles, Purposes and Interpretation </w:t>
      </w:r>
      <w:bookmarkStart w:id="6" w:name="section001"/>
      <w:bookmarkEnd w:id="6"/>
      <w:r w:rsidRPr="005B04B4">
        <w:t xml:space="preserve">Principles of municipal governance </w:t>
      </w:r>
    </w:p>
    <w:p w:rsidR="001948C1" w:rsidRPr="005B04B4" w:rsidRDefault="001948C1" w:rsidP="00CD0E53">
      <w:pPr>
        <w:pStyle w:val="indentlevel1"/>
        <w:spacing w:before="0" w:beforeAutospacing="0" w:after="0" w:afterAutospacing="0"/>
        <w:jc w:val="both"/>
        <w:rPr>
          <w:rFonts w:ascii="Arial" w:hAnsi="Arial" w:cs="Arial"/>
          <w:sz w:val="20"/>
          <w:szCs w:val="20"/>
        </w:rPr>
      </w:pPr>
      <w:r w:rsidRPr="005B04B4">
        <w:rPr>
          <w:rFonts w:ascii="Arial" w:hAnsi="Arial" w:cs="Arial"/>
          <w:bCs/>
          <w:sz w:val="20"/>
          <w:szCs w:val="20"/>
        </w:rPr>
        <w:t>1</w:t>
      </w:r>
      <w:r w:rsidRPr="005B04B4">
        <w:rPr>
          <w:rFonts w:ascii="Arial" w:hAnsi="Arial" w:cs="Arial"/>
          <w:sz w:val="20"/>
          <w:szCs w:val="20"/>
        </w:rPr>
        <w:t xml:space="preserve"> (1) Municipalities and their councils are recognized as an order of government within their jurisdiction that</w:t>
      </w:r>
    </w:p>
    <w:p w:rsidR="001948C1" w:rsidRPr="005B04B4" w:rsidRDefault="001948C1" w:rsidP="00CD0E53">
      <w:pPr>
        <w:pStyle w:val="indentlevel2"/>
        <w:spacing w:before="0" w:beforeAutospacing="0" w:after="0" w:afterAutospacing="0"/>
        <w:jc w:val="both"/>
        <w:rPr>
          <w:rFonts w:ascii="Arial" w:hAnsi="Arial" w:cs="Arial"/>
          <w:sz w:val="20"/>
          <w:szCs w:val="20"/>
        </w:rPr>
      </w:pPr>
      <w:r w:rsidRPr="005B04B4">
        <w:rPr>
          <w:rFonts w:ascii="Arial" w:hAnsi="Arial" w:cs="Arial"/>
          <w:sz w:val="20"/>
          <w:szCs w:val="20"/>
        </w:rPr>
        <w:t>(a) is democratically elected, autonomous, responsible and accountable,</w:t>
      </w:r>
    </w:p>
    <w:p w:rsidR="001948C1" w:rsidRPr="005B04B4" w:rsidRDefault="001948C1" w:rsidP="00CD0E53">
      <w:pPr>
        <w:pStyle w:val="indentlevel2"/>
        <w:spacing w:before="0" w:beforeAutospacing="0" w:after="0" w:afterAutospacing="0"/>
        <w:jc w:val="both"/>
        <w:rPr>
          <w:rFonts w:ascii="Arial" w:hAnsi="Arial" w:cs="Arial"/>
          <w:sz w:val="20"/>
          <w:szCs w:val="20"/>
        </w:rPr>
      </w:pPr>
      <w:r w:rsidRPr="005B04B4">
        <w:rPr>
          <w:rFonts w:ascii="Arial" w:hAnsi="Arial" w:cs="Arial"/>
          <w:sz w:val="20"/>
          <w:szCs w:val="20"/>
        </w:rPr>
        <w:t>(b) is established and continued by the will of the residents of their communities, and</w:t>
      </w:r>
    </w:p>
    <w:p w:rsidR="001948C1" w:rsidRPr="005B04B4" w:rsidRDefault="001948C1" w:rsidP="00CD0E53">
      <w:pPr>
        <w:pStyle w:val="indentlevel2"/>
        <w:spacing w:before="0" w:beforeAutospacing="0" w:after="0" w:afterAutospacing="0"/>
        <w:jc w:val="both"/>
        <w:rPr>
          <w:rFonts w:ascii="Arial" w:hAnsi="Arial" w:cs="Arial"/>
          <w:sz w:val="20"/>
          <w:szCs w:val="20"/>
        </w:rPr>
      </w:pPr>
      <w:r w:rsidRPr="005B04B4">
        <w:rPr>
          <w:rFonts w:ascii="Arial" w:hAnsi="Arial" w:cs="Arial"/>
          <w:sz w:val="20"/>
          <w:szCs w:val="20"/>
        </w:rPr>
        <w:t>(c) provides for the municipal purposes of their communities.</w:t>
      </w:r>
    </w:p>
    <w:p w:rsidR="001948C1" w:rsidRPr="005B04B4" w:rsidRDefault="001948C1" w:rsidP="00CD0E53">
      <w:pPr>
        <w:pStyle w:val="indentlevel1"/>
        <w:spacing w:before="0" w:beforeAutospacing="0" w:after="0" w:afterAutospacing="0"/>
        <w:jc w:val="both"/>
        <w:rPr>
          <w:rFonts w:ascii="Arial" w:hAnsi="Arial" w:cs="Arial"/>
          <w:sz w:val="20"/>
          <w:szCs w:val="20"/>
        </w:rPr>
      </w:pPr>
      <w:r w:rsidRPr="005B04B4" w:rsidDel="003001D5">
        <w:rPr>
          <w:rFonts w:ascii="Arial" w:hAnsi="Arial" w:cs="Arial"/>
          <w:sz w:val="20"/>
          <w:szCs w:val="20"/>
        </w:rPr>
        <w:t xml:space="preserve"> </w:t>
      </w:r>
      <w:r w:rsidR="00B86E17">
        <w:rPr>
          <w:rFonts w:ascii="Arial" w:hAnsi="Arial" w:cs="Arial"/>
          <w:sz w:val="20"/>
          <w:szCs w:val="20"/>
        </w:rPr>
        <w:t xml:space="preserve">  </w:t>
      </w:r>
      <w:r w:rsidRPr="005B04B4">
        <w:rPr>
          <w:rFonts w:ascii="Arial" w:hAnsi="Arial" w:cs="Arial"/>
          <w:sz w:val="20"/>
          <w:szCs w:val="20"/>
        </w:rPr>
        <w:t>(2) In relation to subsection (1), the Provincial government recognizes that municipalities require</w:t>
      </w:r>
    </w:p>
    <w:p w:rsidR="001948C1" w:rsidRPr="005B04B4" w:rsidRDefault="001948C1" w:rsidP="00CD0E53">
      <w:pPr>
        <w:pStyle w:val="indentlevel2"/>
        <w:spacing w:before="0" w:beforeAutospacing="0" w:after="0" w:afterAutospacing="0"/>
        <w:jc w:val="both"/>
        <w:rPr>
          <w:rFonts w:ascii="Arial" w:hAnsi="Arial" w:cs="Arial"/>
          <w:sz w:val="20"/>
          <w:szCs w:val="20"/>
        </w:rPr>
      </w:pPr>
      <w:r w:rsidRPr="005B04B4">
        <w:rPr>
          <w:rFonts w:ascii="Arial" w:hAnsi="Arial" w:cs="Arial"/>
          <w:sz w:val="20"/>
          <w:szCs w:val="20"/>
        </w:rPr>
        <w:t>(a) adequate powers and discretion to address existing and future community needs,</w:t>
      </w:r>
    </w:p>
    <w:p w:rsidR="001948C1" w:rsidRPr="005B04B4" w:rsidRDefault="001948C1" w:rsidP="00CD0E53">
      <w:pPr>
        <w:pStyle w:val="indentlevel2"/>
        <w:spacing w:before="0" w:beforeAutospacing="0" w:after="0" w:afterAutospacing="0"/>
        <w:jc w:val="both"/>
        <w:rPr>
          <w:rFonts w:ascii="Arial" w:hAnsi="Arial" w:cs="Arial"/>
          <w:sz w:val="20"/>
          <w:szCs w:val="20"/>
        </w:rPr>
      </w:pPr>
      <w:r w:rsidRPr="005B04B4">
        <w:rPr>
          <w:rFonts w:ascii="Arial" w:hAnsi="Arial" w:cs="Arial"/>
          <w:sz w:val="20"/>
          <w:szCs w:val="20"/>
        </w:rPr>
        <w:t>(b) authority to determine the public interest of their communities, within a legislative framework that supports balance and certainty in relation to the differing interests of their communities,</w:t>
      </w:r>
    </w:p>
    <w:p w:rsidR="001948C1" w:rsidRPr="005B04B4" w:rsidRDefault="001948C1" w:rsidP="00CD0E53">
      <w:pPr>
        <w:pStyle w:val="indentlevel2"/>
        <w:spacing w:before="0" w:beforeAutospacing="0" w:after="0" w:afterAutospacing="0"/>
        <w:jc w:val="both"/>
        <w:rPr>
          <w:rFonts w:ascii="Arial" w:hAnsi="Arial" w:cs="Arial"/>
          <w:sz w:val="20"/>
          <w:szCs w:val="20"/>
        </w:rPr>
      </w:pPr>
      <w:r w:rsidRPr="005B04B4">
        <w:rPr>
          <w:rFonts w:ascii="Arial" w:hAnsi="Arial" w:cs="Arial"/>
          <w:sz w:val="20"/>
          <w:szCs w:val="20"/>
        </w:rPr>
        <w:t>(c) the ability to draw on financial and other resources that are adequate to support community needs,</w:t>
      </w:r>
    </w:p>
    <w:p w:rsidR="001948C1" w:rsidRPr="005B04B4" w:rsidRDefault="001948C1" w:rsidP="00CD0E53">
      <w:pPr>
        <w:pStyle w:val="indentlevel2"/>
        <w:spacing w:before="0" w:beforeAutospacing="0" w:after="0" w:afterAutospacing="0"/>
        <w:jc w:val="both"/>
        <w:rPr>
          <w:rFonts w:ascii="Arial" w:hAnsi="Arial" w:cs="Arial"/>
          <w:sz w:val="20"/>
          <w:szCs w:val="20"/>
        </w:rPr>
      </w:pPr>
      <w:r w:rsidRPr="005B04B4">
        <w:rPr>
          <w:rFonts w:ascii="Arial" w:hAnsi="Arial" w:cs="Arial"/>
          <w:sz w:val="20"/>
          <w:szCs w:val="20"/>
        </w:rPr>
        <w:t>(d) authority to determine the levels of municipal expenditures and taxation that are appropriate for their purposes, and</w:t>
      </w:r>
    </w:p>
    <w:p w:rsidR="001948C1" w:rsidRPr="005B04B4" w:rsidRDefault="001948C1" w:rsidP="00CD0E53">
      <w:pPr>
        <w:pStyle w:val="indentlevel2"/>
        <w:spacing w:before="0" w:beforeAutospacing="0" w:after="0" w:afterAutospacing="0"/>
        <w:jc w:val="both"/>
        <w:rPr>
          <w:rFonts w:ascii="Arial" w:hAnsi="Arial" w:cs="Arial"/>
          <w:sz w:val="20"/>
          <w:szCs w:val="20"/>
        </w:rPr>
      </w:pPr>
      <w:r w:rsidRPr="005B04B4">
        <w:rPr>
          <w:rFonts w:ascii="Arial" w:hAnsi="Arial" w:cs="Arial"/>
          <w:sz w:val="20"/>
          <w:szCs w:val="20"/>
        </w:rPr>
        <w:t>(e) authority to provide effective management and delivery of services in a manner that is responsive to community needs.</w:t>
      </w:r>
    </w:p>
    <w:p w:rsidR="001948C1" w:rsidRPr="005B04B4" w:rsidRDefault="001948C1" w:rsidP="00CD0E53">
      <w:pPr>
        <w:pStyle w:val="Heading4"/>
        <w:jc w:val="both"/>
        <w:rPr>
          <w:rFonts w:ascii="Arial" w:hAnsi="Arial" w:cs="Arial"/>
          <w:b w:val="0"/>
          <w:sz w:val="20"/>
          <w:szCs w:val="20"/>
        </w:rPr>
      </w:pPr>
      <w:bookmarkStart w:id="7" w:name="section002"/>
      <w:bookmarkEnd w:id="7"/>
      <w:r w:rsidRPr="005B04B4">
        <w:rPr>
          <w:rFonts w:ascii="Arial" w:hAnsi="Arial" w:cs="Arial"/>
          <w:b w:val="0"/>
          <w:sz w:val="20"/>
          <w:szCs w:val="20"/>
        </w:rPr>
        <w:t xml:space="preserve">Principles of municipal-provincial relations </w:t>
      </w:r>
    </w:p>
    <w:p w:rsidR="001948C1" w:rsidRPr="005B04B4" w:rsidRDefault="001948C1" w:rsidP="00CD0E53">
      <w:pPr>
        <w:pStyle w:val="indentlevel1"/>
        <w:spacing w:before="0" w:beforeAutospacing="0" w:after="0" w:afterAutospacing="0"/>
        <w:jc w:val="both"/>
        <w:rPr>
          <w:rFonts w:ascii="Arial" w:hAnsi="Arial" w:cs="Arial"/>
          <w:sz w:val="20"/>
          <w:szCs w:val="20"/>
        </w:rPr>
      </w:pPr>
      <w:r w:rsidRPr="005B04B4">
        <w:rPr>
          <w:rFonts w:ascii="Arial" w:hAnsi="Arial" w:cs="Arial"/>
          <w:bCs/>
          <w:sz w:val="20"/>
          <w:szCs w:val="20"/>
        </w:rPr>
        <w:t>2</w:t>
      </w:r>
      <w:r w:rsidRPr="005B04B4">
        <w:rPr>
          <w:rFonts w:ascii="Arial" w:hAnsi="Arial" w:cs="Arial"/>
          <w:sz w:val="20"/>
          <w:szCs w:val="20"/>
        </w:rPr>
        <w:t xml:space="preserve"> (1) The citizens of British Columbia are best served when, in their relationship, municipalities and the Provincial government</w:t>
      </w:r>
    </w:p>
    <w:p w:rsidR="001948C1" w:rsidRPr="005B04B4" w:rsidRDefault="001948C1" w:rsidP="00CD0E53">
      <w:pPr>
        <w:pStyle w:val="indentlevel2"/>
        <w:spacing w:before="0" w:beforeAutospacing="0" w:after="0" w:afterAutospacing="0"/>
        <w:jc w:val="both"/>
        <w:rPr>
          <w:rFonts w:ascii="Arial" w:hAnsi="Arial" w:cs="Arial"/>
          <w:sz w:val="20"/>
          <w:szCs w:val="20"/>
        </w:rPr>
      </w:pPr>
      <w:r w:rsidRPr="005B04B4">
        <w:rPr>
          <w:rFonts w:ascii="Arial" w:hAnsi="Arial" w:cs="Arial"/>
          <w:sz w:val="20"/>
          <w:szCs w:val="20"/>
        </w:rPr>
        <w:t>(a) acknowledge and respect the jurisdiction of each,</w:t>
      </w:r>
    </w:p>
    <w:p w:rsidR="001948C1" w:rsidRPr="005B04B4" w:rsidRDefault="001948C1" w:rsidP="00CD0E53">
      <w:pPr>
        <w:pStyle w:val="indentlevel2"/>
        <w:spacing w:before="0" w:beforeAutospacing="0" w:after="0" w:afterAutospacing="0"/>
        <w:jc w:val="both"/>
        <w:rPr>
          <w:rFonts w:ascii="Arial" w:hAnsi="Arial" w:cs="Arial"/>
          <w:sz w:val="20"/>
          <w:szCs w:val="20"/>
        </w:rPr>
      </w:pPr>
      <w:r w:rsidRPr="005B04B4">
        <w:rPr>
          <w:rFonts w:ascii="Arial" w:hAnsi="Arial" w:cs="Arial"/>
          <w:sz w:val="20"/>
          <w:szCs w:val="20"/>
        </w:rPr>
        <w:t>(b) work towards harmonization of Provincial and municipal enactments, policies and programs, and</w:t>
      </w:r>
    </w:p>
    <w:p w:rsidR="001948C1" w:rsidRPr="005B04B4" w:rsidRDefault="001948C1" w:rsidP="00CD0E53">
      <w:pPr>
        <w:pStyle w:val="indentlevel2"/>
        <w:spacing w:before="0" w:beforeAutospacing="0" w:after="0" w:afterAutospacing="0"/>
        <w:jc w:val="both"/>
        <w:rPr>
          <w:rFonts w:ascii="Arial" w:hAnsi="Arial" w:cs="Arial"/>
          <w:sz w:val="20"/>
          <w:szCs w:val="20"/>
        </w:rPr>
      </w:pPr>
      <w:r w:rsidRPr="005B04B4">
        <w:rPr>
          <w:rFonts w:ascii="Arial" w:hAnsi="Arial" w:cs="Arial"/>
          <w:sz w:val="20"/>
          <w:szCs w:val="20"/>
        </w:rPr>
        <w:t>(c) foster cooperative approaches to matters of mutual interest.</w:t>
      </w:r>
    </w:p>
    <w:p w:rsidR="001948C1" w:rsidRPr="005B04B4" w:rsidRDefault="001948C1" w:rsidP="00CD0E53">
      <w:pPr>
        <w:pStyle w:val="indentlevel1"/>
        <w:spacing w:before="0" w:beforeAutospacing="0" w:after="0" w:afterAutospacing="0"/>
        <w:jc w:val="both"/>
        <w:rPr>
          <w:rFonts w:ascii="Arial" w:hAnsi="Arial" w:cs="Arial"/>
          <w:sz w:val="20"/>
          <w:szCs w:val="20"/>
        </w:rPr>
      </w:pPr>
      <w:r w:rsidRPr="005B04B4">
        <w:rPr>
          <w:rFonts w:ascii="Arial" w:hAnsi="Arial" w:cs="Arial"/>
          <w:sz w:val="20"/>
          <w:szCs w:val="20"/>
        </w:rPr>
        <w:t>(2) The relationship between municipalities and the Provincial government is based on the following principles:</w:t>
      </w:r>
    </w:p>
    <w:p w:rsidR="001948C1" w:rsidRPr="005B04B4" w:rsidRDefault="001948C1" w:rsidP="00CD0E53">
      <w:pPr>
        <w:pStyle w:val="indentlevel2"/>
        <w:spacing w:before="0" w:beforeAutospacing="0" w:after="0" w:afterAutospacing="0"/>
        <w:jc w:val="both"/>
        <w:rPr>
          <w:rFonts w:ascii="Arial" w:hAnsi="Arial" w:cs="Arial"/>
          <w:sz w:val="20"/>
          <w:szCs w:val="20"/>
        </w:rPr>
      </w:pPr>
      <w:r w:rsidRPr="005B04B4">
        <w:rPr>
          <w:rFonts w:ascii="Arial" w:hAnsi="Arial" w:cs="Arial"/>
          <w:sz w:val="20"/>
          <w:szCs w:val="20"/>
        </w:rPr>
        <w:t>(a) the Provincial government respects municipal authority and municipalities respect Provincial authority;</w:t>
      </w:r>
    </w:p>
    <w:p w:rsidR="001948C1" w:rsidRPr="005B04B4" w:rsidRDefault="001948C1" w:rsidP="00CD0E53">
      <w:pPr>
        <w:pStyle w:val="indentlevel2"/>
        <w:spacing w:before="0" w:beforeAutospacing="0" w:after="0" w:afterAutospacing="0"/>
        <w:jc w:val="both"/>
        <w:rPr>
          <w:rFonts w:ascii="Arial" w:hAnsi="Arial" w:cs="Arial"/>
          <w:sz w:val="20"/>
          <w:szCs w:val="20"/>
        </w:rPr>
      </w:pPr>
      <w:r w:rsidRPr="005B04B4">
        <w:rPr>
          <w:rFonts w:ascii="Arial" w:hAnsi="Arial" w:cs="Arial"/>
          <w:sz w:val="20"/>
          <w:szCs w:val="20"/>
        </w:rPr>
        <w:t>(b) the Provincial government must not assign responsibilities to municipalities unless there is provision for resources required to fulfill the responsibilities;</w:t>
      </w:r>
    </w:p>
    <w:p w:rsidR="001948C1" w:rsidRPr="005B04B4" w:rsidRDefault="001948C1" w:rsidP="00CD0E53">
      <w:pPr>
        <w:pStyle w:val="indentlevel2"/>
        <w:spacing w:before="0" w:beforeAutospacing="0" w:after="0" w:afterAutospacing="0"/>
        <w:jc w:val="both"/>
        <w:rPr>
          <w:rFonts w:ascii="Arial" w:hAnsi="Arial" w:cs="Arial"/>
          <w:sz w:val="20"/>
          <w:szCs w:val="20"/>
        </w:rPr>
      </w:pPr>
      <w:r w:rsidRPr="005B04B4">
        <w:rPr>
          <w:rFonts w:ascii="Arial" w:hAnsi="Arial" w:cs="Arial"/>
          <w:sz w:val="20"/>
          <w:szCs w:val="20"/>
        </w:rPr>
        <w:t>(c) consultation is needed on matters of mutual interest, including consultation by the Provincial government on</w:t>
      </w:r>
    </w:p>
    <w:p w:rsidR="001948C1" w:rsidRPr="005B04B4" w:rsidRDefault="001948C1" w:rsidP="00CD0E53">
      <w:pPr>
        <w:pStyle w:val="indentlevel3"/>
        <w:spacing w:before="0" w:beforeAutospacing="0" w:after="0" w:afterAutospacing="0"/>
        <w:jc w:val="both"/>
        <w:rPr>
          <w:rFonts w:ascii="Arial" w:hAnsi="Arial" w:cs="Arial"/>
          <w:sz w:val="20"/>
          <w:szCs w:val="20"/>
        </w:rPr>
      </w:pPr>
      <w:r w:rsidRPr="005B04B4">
        <w:rPr>
          <w:rFonts w:ascii="Arial" w:hAnsi="Arial" w:cs="Arial"/>
          <w:sz w:val="20"/>
          <w:szCs w:val="20"/>
        </w:rPr>
        <w:t>(i) proposed changes to local government legislation,</w:t>
      </w:r>
    </w:p>
    <w:p w:rsidR="001948C1" w:rsidRPr="005B04B4" w:rsidRDefault="001948C1" w:rsidP="00CD0E53">
      <w:pPr>
        <w:pStyle w:val="indentlevel3"/>
        <w:spacing w:before="0" w:beforeAutospacing="0" w:after="0" w:afterAutospacing="0"/>
        <w:jc w:val="both"/>
        <w:rPr>
          <w:rFonts w:ascii="Arial" w:hAnsi="Arial" w:cs="Arial"/>
          <w:sz w:val="20"/>
          <w:szCs w:val="20"/>
        </w:rPr>
      </w:pPr>
      <w:r w:rsidRPr="005B04B4">
        <w:rPr>
          <w:rFonts w:ascii="Arial" w:hAnsi="Arial" w:cs="Arial"/>
          <w:sz w:val="20"/>
          <w:szCs w:val="20"/>
        </w:rPr>
        <w:t>(ii) proposed changes to revenue transfers to municipalities, and</w:t>
      </w:r>
    </w:p>
    <w:p w:rsidR="001948C1" w:rsidRPr="005B04B4" w:rsidRDefault="001948C1" w:rsidP="00CD0E53">
      <w:pPr>
        <w:pStyle w:val="indentlevel3"/>
        <w:spacing w:before="0" w:beforeAutospacing="0" w:after="0" w:afterAutospacing="0"/>
        <w:jc w:val="both"/>
        <w:rPr>
          <w:rFonts w:ascii="Arial" w:hAnsi="Arial" w:cs="Arial"/>
          <w:sz w:val="20"/>
          <w:szCs w:val="20"/>
        </w:rPr>
      </w:pPr>
      <w:r w:rsidRPr="005B04B4">
        <w:rPr>
          <w:rFonts w:ascii="Arial" w:hAnsi="Arial" w:cs="Arial"/>
          <w:sz w:val="20"/>
          <w:szCs w:val="20"/>
        </w:rPr>
        <w:t>(iii) proposed changes to Provincial programs that will have a significant impact in relation to matters that are within municipal authority;</w:t>
      </w:r>
    </w:p>
    <w:p w:rsidR="001948C1" w:rsidRPr="005B04B4" w:rsidRDefault="001948C1" w:rsidP="00CD0E53">
      <w:pPr>
        <w:pStyle w:val="indentlevel2"/>
        <w:spacing w:before="0" w:beforeAutospacing="0" w:after="0" w:afterAutospacing="0"/>
        <w:jc w:val="both"/>
        <w:rPr>
          <w:rFonts w:ascii="Arial" w:hAnsi="Arial" w:cs="Arial"/>
          <w:sz w:val="20"/>
          <w:szCs w:val="20"/>
        </w:rPr>
      </w:pPr>
      <w:r w:rsidRPr="005B04B4">
        <w:rPr>
          <w:rFonts w:ascii="Arial" w:hAnsi="Arial" w:cs="Arial"/>
          <w:sz w:val="20"/>
          <w:szCs w:val="20"/>
        </w:rPr>
        <w:t>(d) the Provincial government respects the varying needs and conditions of different municipalities in different areas of British Columbia;</w:t>
      </w:r>
    </w:p>
    <w:p w:rsidR="001948C1" w:rsidRPr="005B04B4" w:rsidRDefault="001948C1" w:rsidP="00CD0E53">
      <w:pPr>
        <w:pStyle w:val="indentlevel2"/>
        <w:spacing w:before="0" w:beforeAutospacing="0" w:after="0" w:afterAutospacing="0"/>
        <w:jc w:val="both"/>
        <w:rPr>
          <w:rFonts w:ascii="Arial" w:hAnsi="Arial" w:cs="Arial"/>
          <w:sz w:val="20"/>
          <w:szCs w:val="20"/>
        </w:rPr>
      </w:pPr>
      <w:r w:rsidRPr="005B04B4">
        <w:rPr>
          <w:rFonts w:ascii="Arial" w:hAnsi="Arial" w:cs="Arial"/>
          <w:sz w:val="20"/>
          <w:szCs w:val="20"/>
        </w:rPr>
        <w:t>(e) consideration of municipal interests is needed when the Provincial government participates in interprovincial, national or international discussions on matters that affect municipalities;</w:t>
      </w:r>
    </w:p>
    <w:p w:rsidR="001948C1" w:rsidRPr="005B04B4" w:rsidRDefault="001948C1" w:rsidP="00CD0E53">
      <w:pPr>
        <w:pStyle w:val="indentlevel2"/>
        <w:spacing w:before="0" w:beforeAutospacing="0" w:after="0" w:afterAutospacing="0"/>
        <w:jc w:val="both"/>
        <w:rPr>
          <w:rFonts w:ascii="Arial" w:hAnsi="Arial" w:cs="Arial"/>
          <w:sz w:val="20"/>
          <w:szCs w:val="20"/>
        </w:rPr>
      </w:pPr>
      <w:r w:rsidRPr="005B04B4">
        <w:rPr>
          <w:rFonts w:ascii="Arial" w:hAnsi="Arial" w:cs="Arial"/>
          <w:sz w:val="20"/>
          <w:szCs w:val="20"/>
        </w:rPr>
        <w:t>(f) the authority of municipalities is balanced by the responsibility of the Provincial government to consider the interests of the citizens of British Columbia generally;</w:t>
      </w:r>
    </w:p>
    <w:p w:rsidR="001948C1" w:rsidRPr="005B04B4" w:rsidRDefault="001948C1" w:rsidP="00CD0E53">
      <w:pPr>
        <w:pStyle w:val="indentlevel2"/>
        <w:spacing w:before="0" w:beforeAutospacing="0" w:after="0" w:afterAutospacing="0"/>
        <w:jc w:val="both"/>
        <w:rPr>
          <w:rFonts w:ascii="Arial" w:hAnsi="Arial" w:cs="Arial"/>
          <w:sz w:val="20"/>
          <w:szCs w:val="20"/>
        </w:rPr>
      </w:pPr>
      <w:r w:rsidRPr="005B04B4">
        <w:rPr>
          <w:rFonts w:ascii="Arial" w:hAnsi="Arial" w:cs="Arial"/>
          <w:sz w:val="20"/>
          <w:szCs w:val="20"/>
        </w:rPr>
        <w:t>(g) the Provincial government and municipalities should attempt to resolve conflicts between them by consultation, negotiation, facilitation and other forms of dispute resolution.</w:t>
      </w:r>
    </w:p>
    <w:p w:rsidR="001948C1" w:rsidRPr="005B04B4" w:rsidRDefault="001948C1" w:rsidP="00016E6B">
      <w:pPr>
        <w:pStyle w:val="indentlevel2"/>
        <w:spacing w:before="0" w:beforeAutospacing="0" w:after="0" w:afterAutospacing="0" w:line="480" w:lineRule="auto"/>
        <w:jc w:val="both"/>
        <w:rPr>
          <w:rFonts w:ascii="Arial" w:hAnsi="Arial" w:cs="Arial"/>
          <w:sz w:val="16"/>
          <w:szCs w:val="16"/>
        </w:rPr>
      </w:pPr>
    </w:p>
    <w:p w:rsidR="001948C1" w:rsidRPr="00A0677E" w:rsidRDefault="001948C1" w:rsidP="00016E6B">
      <w:pPr>
        <w:pStyle w:val="indentlevel2"/>
        <w:spacing w:before="0" w:beforeAutospacing="0" w:after="0" w:afterAutospacing="0" w:line="480" w:lineRule="auto"/>
        <w:ind w:left="0"/>
        <w:jc w:val="both"/>
        <w:rPr>
          <w:rFonts w:ascii="Arial" w:hAnsi="Arial" w:cs="Arial"/>
        </w:rPr>
      </w:pPr>
      <w:r w:rsidRPr="00A0677E">
        <w:rPr>
          <w:rFonts w:ascii="Arial" w:hAnsi="Arial" w:cs="Arial"/>
        </w:rPr>
        <w:lastRenderedPageBreak/>
        <w:tab/>
        <w:t>This legislative language hid as much as it illuminate</w:t>
      </w:r>
      <w:r w:rsidR="005B04B4">
        <w:rPr>
          <w:rFonts w:ascii="Arial" w:hAnsi="Arial" w:cs="Arial"/>
        </w:rPr>
        <w:t>d</w:t>
      </w:r>
      <w:r w:rsidRPr="00A0677E">
        <w:rPr>
          <w:rFonts w:ascii="Arial" w:hAnsi="Arial" w:cs="Arial"/>
        </w:rPr>
        <w:t xml:space="preserve">, however. For example, despite talk of limiting interference by the senior provincial authority, should local governments under BC’s Community Charter decide to raise local taxes—such as </w:t>
      </w:r>
      <w:r w:rsidR="00DF7A18">
        <w:rPr>
          <w:rFonts w:ascii="Arial" w:hAnsi="Arial" w:cs="Arial"/>
        </w:rPr>
        <w:t>for</w:t>
      </w:r>
      <w:r w:rsidRPr="00A0677E">
        <w:rPr>
          <w:rFonts w:ascii="Arial" w:hAnsi="Arial" w:cs="Arial"/>
        </w:rPr>
        <w:t xml:space="preserve"> businesses—rather than opt for the newly preferred user fees and the like, the province reserve</w:t>
      </w:r>
      <w:r w:rsidR="00DF7A18">
        <w:rPr>
          <w:rFonts w:ascii="Arial" w:hAnsi="Arial" w:cs="Arial"/>
        </w:rPr>
        <w:t>d</w:t>
      </w:r>
      <w:r w:rsidRPr="00A0677E">
        <w:rPr>
          <w:rFonts w:ascii="Arial" w:hAnsi="Arial" w:cs="Arial"/>
        </w:rPr>
        <w:t xml:space="preserve"> the right to impose limits on property tax rates, in direct contradiction of the </w:t>
      </w:r>
      <w:r w:rsidRPr="00DF7A18">
        <w:rPr>
          <w:rFonts w:ascii="Arial" w:hAnsi="Arial" w:cs="Arial"/>
          <w:i/>
        </w:rPr>
        <w:t>Community Charter</w:t>
      </w:r>
      <w:r w:rsidRPr="00A0677E">
        <w:rPr>
          <w:rFonts w:ascii="Arial" w:hAnsi="Arial" w:cs="Arial"/>
        </w:rPr>
        <w:t xml:space="preserve">’s expressed intent to empower local autonomy. And under a redefined provincial-municipal relationship, the </w:t>
      </w:r>
      <w:r w:rsidRPr="00DF7A18">
        <w:rPr>
          <w:rFonts w:ascii="Arial" w:hAnsi="Arial" w:cs="Arial"/>
          <w:i/>
        </w:rPr>
        <w:t>Community Charter</w:t>
      </w:r>
      <w:r w:rsidRPr="00A0677E">
        <w:rPr>
          <w:rFonts w:ascii="Arial" w:hAnsi="Arial" w:cs="Arial"/>
        </w:rPr>
        <w:t xml:space="preserve"> reminds local governments that apart from acknowledging and respecting each other’s jurisdiction, the legislative intent is to ‘work towards harmonization of provincial and municipal enactments, policies and programs.’</w:t>
      </w:r>
      <w:r w:rsidRPr="00A0677E">
        <w:rPr>
          <w:rFonts w:ascii="Arial" w:hAnsi="Arial" w:cs="Arial"/>
          <w:vertAlign w:val="superscript"/>
        </w:rPr>
        <w:t>8</w:t>
      </w:r>
      <w:r w:rsidRPr="00A0677E">
        <w:rPr>
          <w:rFonts w:ascii="Arial" w:hAnsi="Arial" w:cs="Arial"/>
        </w:rPr>
        <w:t xml:space="preserve"> This may work in many instances, but not where a local government wishes to take a rather divergent policy tack. Here, the intergovernmental game becomes more perilous for local authorities.</w:t>
      </w:r>
      <w:r w:rsidR="00617111">
        <w:rPr>
          <w:rFonts w:ascii="Arial" w:hAnsi="Arial" w:cs="Arial"/>
        </w:rPr>
        <w:t xml:space="preserve"> This was the case </w:t>
      </w:r>
      <w:r w:rsidR="00617111">
        <w:rPr>
          <w:rFonts w:ascii="Arial" w:hAnsi="Arial" w:cs="Arial"/>
          <w:i/>
        </w:rPr>
        <w:t xml:space="preserve">before </w:t>
      </w:r>
      <w:r w:rsidR="00617111">
        <w:rPr>
          <w:rFonts w:ascii="Arial" w:hAnsi="Arial" w:cs="Arial"/>
        </w:rPr>
        <w:t>Gordon Campbell; it remained the case during his 2.5 terms.</w:t>
      </w:r>
      <w:r w:rsidRPr="00A0677E">
        <w:rPr>
          <w:rFonts w:ascii="Arial" w:hAnsi="Arial" w:cs="Arial"/>
        </w:rPr>
        <w:t xml:space="preserve"> </w:t>
      </w:r>
    </w:p>
    <w:p w:rsidR="00B404F1" w:rsidRDefault="001948C1" w:rsidP="00016E6B">
      <w:pPr>
        <w:pStyle w:val="indentlevel2"/>
        <w:spacing w:before="0" w:beforeAutospacing="0" w:after="0" w:afterAutospacing="0" w:line="480" w:lineRule="auto"/>
        <w:ind w:left="0" w:firstLine="720"/>
        <w:jc w:val="both"/>
        <w:rPr>
          <w:rFonts w:ascii="Arial" w:hAnsi="Arial" w:cs="Arial"/>
        </w:rPr>
      </w:pPr>
      <w:r w:rsidRPr="00A0677E">
        <w:rPr>
          <w:rFonts w:ascii="Arial" w:hAnsi="Arial" w:cs="Arial"/>
        </w:rPr>
        <w:t>The dismissal of school boards and the ‘over a weekend’ elimination by Order-in-Council of the GVRD’s authority over the region’s watershed, when it tried to block provincial implementation of a natural gas pipeline through that watershed to Vancouver Island, serve as historical reminders of such senior provincial powers.</w:t>
      </w:r>
      <w:r w:rsidRPr="00A0677E">
        <w:rPr>
          <w:rFonts w:ascii="Arial" w:hAnsi="Arial" w:cs="Arial"/>
          <w:vertAlign w:val="superscript"/>
        </w:rPr>
        <w:t>9</w:t>
      </w:r>
      <w:r w:rsidRPr="00A0677E">
        <w:rPr>
          <w:rFonts w:ascii="Arial" w:hAnsi="Arial" w:cs="Arial"/>
        </w:rPr>
        <w:t xml:space="preserve"> The more recent provincial overturning of a local governmental (Delta) bylaw to limit negative air quality impacts of large greenhouses by requiring them to use natural gas or propane as opposed to wood waste,</w:t>
      </w:r>
      <w:r w:rsidRPr="00A0677E">
        <w:rPr>
          <w:rFonts w:ascii="Arial" w:hAnsi="Arial" w:cs="Arial"/>
          <w:vertAlign w:val="superscript"/>
        </w:rPr>
        <w:t>10</w:t>
      </w:r>
      <w:r w:rsidRPr="00A0677E">
        <w:rPr>
          <w:rFonts w:ascii="Arial" w:hAnsi="Arial" w:cs="Arial"/>
        </w:rPr>
        <w:t xml:space="preserve"> the use of similar provincial powers (right-to-farm legislation) to prevent local coastal municipalities from using their bylaw powers to limit possible negative environmental impacts from fish farms, and the provincial ‘return’ of fines to fish-farm operators continue</w:t>
      </w:r>
      <w:r w:rsidR="00DF7A18">
        <w:rPr>
          <w:rFonts w:ascii="Arial" w:hAnsi="Arial" w:cs="Arial"/>
        </w:rPr>
        <w:t>d</w:t>
      </w:r>
      <w:r w:rsidRPr="00A0677E">
        <w:rPr>
          <w:rFonts w:ascii="Arial" w:hAnsi="Arial" w:cs="Arial"/>
        </w:rPr>
        <w:t xml:space="preserve"> to serve as reminders that constitutional authority d</w:t>
      </w:r>
      <w:r w:rsidR="00DF7A18">
        <w:rPr>
          <w:rFonts w:ascii="Arial" w:hAnsi="Arial" w:cs="Arial"/>
        </w:rPr>
        <w:t>id</w:t>
      </w:r>
      <w:r w:rsidRPr="00A0677E">
        <w:rPr>
          <w:rFonts w:ascii="Arial" w:hAnsi="Arial" w:cs="Arial"/>
        </w:rPr>
        <w:t xml:space="preserve"> </w:t>
      </w:r>
      <w:r w:rsidRPr="00A0677E">
        <w:rPr>
          <w:rFonts w:ascii="Arial" w:hAnsi="Arial" w:cs="Arial"/>
        </w:rPr>
        <w:lastRenderedPageBreak/>
        <w:t>matter when significant policy differences arise between local and provincial players.</w:t>
      </w:r>
      <w:r w:rsidR="00DF7A18">
        <w:rPr>
          <w:rFonts w:ascii="Arial" w:hAnsi="Arial" w:cs="Arial"/>
        </w:rPr>
        <w:t xml:space="preserve"> The Summer, 2004</w:t>
      </w:r>
      <w:r w:rsidR="00617111">
        <w:rPr>
          <w:rFonts w:ascii="Arial" w:hAnsi="Arial" w:cs="Arial"/>
        </w:rPr>
        <w:t>ff</w:t>
      </w:r>
      <w:r w:rsidR="00DF7A18" w:rsidRPr="00DF7A18">
        <w:rPr>
          <w:rFonts w:ascii="Arial" w:hAnsi="Arial" w:cs="Arial"/>
        </w:rPr>
        <w:t xml:space="preserve"> provincial Ministry of Transportation decision to determine the route/cost/P3 provider of the West Vancouver segment of the Sea To Sky 2010 Olympic Highway upgrade</w:t>
      </w:r>
      <w:r w:rsidRPr="00DF7A18">
        <w:rPr>
          <w:rFonts w:ascii="Arial" w:hAnsi="Arial" w:cs="Arial"/>
        </w:rPr>
        <w:t xml:space="preserve"> </w:t>
      </w:r>
      <w:r w:rsidR="00DF7A18" w:rsidRPr="00DF7A18">
        <w:rPr>
          <w:rFonts w:ascii="Arial" w:hAnsi="Arial" w:cs="Arial"/>
        </w:rPr>
        <w:t>– after listening</w:t>
      </w:r>
      <w:r w:rsidR="005E6528">
        <w:rPr>
          <w:rFonts w:ascii="Arial" w:hAnsi="Arial" w:cs="Arial"/>
        </w:rPr>
        <w:t xml:space="preserve"> to, then ignoring,</w:t>
      </w:r>
      <w:r w:rsidR="00DF7A18" w:rsidRPr="00DF7A18">
        <w:rPr>
          <w:rFonts w:ascii="Arial" w:hAnsi="Arial" w:cs="Arial"/>
        </w:rPr>
        <w:t xml:space="preserve"> local protests including legal action vs</w:t>
      </w:r>
      <w:r w:rsidR="005E6528">
        <w:rPr>
          <w:rFonts w:ascii="Arial" w:hAnsi="Arial" w:cs="Arial"/>
        </w:rPr>
        <w:t>.</w:t>
      </w:r>
      <w:r w:rsidR="00DF7A18" w:rsidRPr="00DF7A18">
        <w:rPr>
          <w:rFonts w:ascii="Arial" w:hAnsi="Arial" w:cs="Arial"/>
        </w:rPr>
        <w:t xml:space="preserve"> the province by the municipality</w:t>
      </w:r>
      <w:r w:rsidR="00617111">
        <w:rPr>
          <w:rFonts w:ascii="Arial" w:hAnsi="Arial" w:cs="Arial"/>
        </w:rPr>
        <w:t>,</w:t>
      </w:r>
      <w:r w:rsidR="005E6528">
        <w:rPr>
          <w:rFonts w:ascii="Arial" w:hAnsi="Arial" w:cs="Arial"/>
        </w:rPr>
        <w:t xml:space="preserve"> re-iterated th</w:t>
      </w:r>
      <w:r w:rsidR="00617111">
        <w:rPr>
          <w:rFonts w:ascii="Arial" w:hAnsi="Arial" w:cs="Arial"/>
        </w:rPr>
        <w:t>is</w:t>
      </w:r>
      <w:r w:rsidR="005E6528">
        <w:rPr>
          <w:rFonts w:ascii="Arial" w:hAnsi="Arial" w:cs="Arial"/>
        </w:rPr>
        <w:t xml:space="preserve"> point</w:t>
      </w:r>
      <w:r w:rsidR="00B404F1">
        <w:rPr>
          <w:rFonts w:ascii="Arial" w:hAnsi="Arial" w:cs="Arial"/>
        </w:rPr>
        <w:t>.</w:t>
      </w:r>
    </w:p>
    <w:p w:rsidR="001948C1" w:rsidRDefault="00B404F1" w:rsidP="00016E6B">
      <w:pPr>
        <w:pStyle w:val="indentlevel2"/>
        <w:spacing w:before="0" w:beforeAutospacing="0" w:after="0" w:afterAutospacing="0" w:line="480" w:lineRule="auto"/>
        <w:ind w:left="0" w:firstLine="720"/>
        <w:jc w:val="both"/>
        <w:rPr>
          <w:rFonts w:ascii="Arial" w:hAnsi="Arial" w:cs="Arial"/>
        </w:rPr>
      </w:pPr>
      <w:r>
        <w:rPr>
          <w:rFonts w:ascii="Arial" w:hAnsi="Arial" w:cs="Arial"/>
        </w:rPr>
        <w:t>One of the best indicators of the first-term Campbell Liberals’ failure to move the local accountability markers was</w:t>
      </w:r>
      <w:r w:rsidR="00617111">
        <w:rPr>
          <w:rFonts w:ascii="Arial" w:hAnsi="Arial" w:cs="Arial"/>
        </w:rPr>
        <w:t xml:space="preserve"> demonstrated</w:t>
      </w:r>
      <w:r>
        <w:rPr>
          <w:rFonts w:ascii="Arial" w:hAnsi="Arial" w:cs="Arial"/>
        </w:rPr>
        <w:t xml:space="preserve"> in changes to the </w:t>
      </w:r>
      <w:r w:rsidRPr="00617111">
        <w:rPr>
          <w:rFonts w:ascii="Arial" w:hAnsi="Arial" w:cs="Arial"/>
          <w:i/>
        </w:rPr>
        <w:t>Charter’s</w:t>
      </w:r>
      <w:r>
        <w:rPr>
          <w:rFonts w:ascii="Arial" w:hAnsi="Arial" w:cs="Arial"/>
        </w:rPr>
        <w:t xml:space="preserve"> counter—petition provisions: </w:t>
      </w:r>
      <w:r w:rsidR="00617111">
        <w:rPr>
          <w:rFonts w:ascii="Arial" w:hAnsi="Arial" w:cs="Arial"/>
        </w:rPr>
        <w:t>u</w:t>
      </w:r>
      <w:r>
        <w:rPr>
          <w:rFonts w:ascii="Arial" w:hAnsi="Arial" w:cs="Arial"/>
        </w:rPr>
        <w:t xml:space="preserve">nder the </w:t>
      </w:r>
      <w:r w:rsidRPr="00617111">
        <w:rPr>
          <w:rFonts w:ascii="Arial" w:hAnsi="Arial" w:cs="Arial"/>
          <w:i/>
        </w:rPr>
        <w:t>L</w:t>
      </w:r>
      <w:r w:rsidR="00226659" w:rsidRPr="00617111">
        <w:rPr>
          <w:rFonts w:ascii="Arial" w:hAnsi="Arial" w:cs="Arial"/>
          <w:i/>
        </w:rPr>
        <w:t xml:space="preserve">ocal </w:t>
      </w:r>
      <w:r w:rsidRPr="00617111">
        <w:rPr>
          <w:rFonts w:ascii="Arial" w:hAnsi="Arial" w:cs="Arial"/>
          <w:i/>
        </w:rPr>
        <w:t>G</w:t>
      </w:r>
      <w:r w:rsidR="00226659" w:rsidRPr="00617111">
        <w:rPr>
          <w:rFonts w:ascii="Arial" w:hAnsi="Arial" w:cs="Arial"/>
          <w:i/>
        </w:rPr>
        <w:t xml:space="preserve">overnment </w:t>
      </w:r>
      <w:r w:rsidRPr="00617111">
        <w:rPr>
          <w:rFonts w:ascii="Arial" w:hAnsi="Arial" w:cs="Arial"/>
          <w:i/>
        </w:rPr>
        <w:t>A</w:t>
      </w:r>
      <w:r w:rsidR="00226659" w:rsidRPr="00617111">
        <w:rPr>
          <w:rFonts w:ascii="Arial" w:hAnsi="Arial" w:cs="Arial"/>
          <w:i/>
        </w:rPr>
        <w:t>ct</w:t>
      </w:r>
      <w:r>
        <w:rPr>
          <w:rFonts w:ascii="Arial" w:hAnsi="Arial" w:cs="Arial"/>
        </w:rPr>
        <w:t xml:space="preserve">, there was a 5% threshold for local voters to force a referendum on bylaws. Under the Community Charter, local councils were less accountable, </w:t>
      </w:r>
      <w:r w:rsidR="00617111">
        <w:rPr>
          <w:rFonts w:ascii="Arial" w:hAnsi="Arial" w:cs="Arial"/>
        </w:rPr>
        <w:t xml:space="preserve">opposition </w:t>
      </w:r>
      <w:r>
        <w:rPr>
          <w:rFonts w:ascii="Arial" w:hAnsi="Arial" w:cs="Arial"/>
        </w:rPr>
        <w:t>now requiring 10% of the local electorate</w:t>
      </w:r>
      <w:r w:rsidR="00720E1E">
        <w:rPr>
          <w:rFonts w:ascii="Arial" w:hAnsi="Arial" w:cs="Arial"/>
        </w:rPr>
        <w:t>.</w:t>
      </w:r>
    </w:p>
    <w:p w:rsidR="001948C1" w:rsidRDefault="00720E1E" w:rsidP="00016E6B">
      <w:pPr>
        <w:pStyle w:val="indentlevel2"/>
        <w:spacing w:before="0" w:beforeAutospacing="0" w:after="0" w:afterAutospacing="0"/>
        <w:ind w:left="0" w:firstLine="720"/>
        <w:jc w:val="both"/>
        <w:rPr>
          <w:rFonts w:ascii="Arial" w:hAnsi="Arial" w:cs="Arial"/>
        </w:rPr>
      </w:pPr>
      <w:r>
        <w:rPr>
          <w:rFonts w:ascii="Arial" w:hAnsi="Arial" w:cs="Arial"/>
        </w:rPr>
        <w:t xml:space="preserve">Robert Bish summarized this well: </w:t>
      </w:r>
    </w:p>
    <w:p w:rsidR="00226659" w:rsidRDefault="00720E1E" w:rsidP="00016E6B">
      <w:pPr>
        <w:pStyle w:val="indentlevel2"/>
        <w:spacing w:before="0" w:beforeAutospacing="0" w:after="0" w:afterAutospacing="0"/>
        <w:ind w:left="964" w:right="397"/>
        <w:jc w:val="both"/>
        <w:rPr>
          <w:rFonts w:ascii="Arial" w:hAnsi="Arial" w:cs="Arial"/>
          <w:sz w:val="20"/>
          <w:szCs w:val="20"/>
        </w:rPr>
      </w:pPr>
      <w:r>
        <w:rPr>
          <w:rFonts w:ascii="Arial" w:hAnsi="Arial" w:cs="Arial"/>
          <w:sz w:val="20"/>
          <w:szCs w:val="20"/>
        </w:rPr>
        <w:t>In effect, a 5% of all voters is likely to mean 10%</w:t>
      </w:r>
      <w:r w:rsidR="00226659">
        <w:rPr>
          <w:rFonts w:ascii="Arial" w:hAnsi="Arial" w:cs="Arial"/>
          <w:sz w:val="20"/>
          <w:szCs w:val="20"/>
        </w:rPr>
        <w:t xml:space="preserve"> to 15% of actual voters, and a</w:t>
      </w:r>
    </w:p>
    <w:p w:rsidR="00720E1E" w:rsidRDefault="00720E1E" w:rsidP="00016E6B">
      <w:pPr>
        <w:pStyle w:val="indentlevel2"/>
        <w:spacing w:before="0" w:beforeAutospacing="0" w:after="0" w:afterAutospacing="0"/>
        <w:ind w:left="964" w:right="397"/>
        <w:jc w:val="both"/>
        <w:rPr>
          <w:rFonts w:ascii="Arial" w:hAnsi="Arial" w:cs="Arial"/>
          <w:sz w:val="20"/>
          <w:szCs w:val="20"/>
        </w:rPr>
      </w:pPr>
      <w:r>
        <w:rPr>
          <w:rFonts w:ascii="Arial" w:hAnsi="Arial" w:cs="Arial"/>
          <w:sz w:val="20"/>
          <w:szCs w:val="20"/>
        </w:rPr>
        <w:t>10% … is likely to mean 20% to 30% of all voters in the last election. What the increased</w:t>
      </w:r>
    </w:p>
    <w:p w:rsidR="00720E1E" w:rsidRDefault="00617111" w:rsidP="00016E6B">
      <w:pPr>
        <w:pStyle w:val="indentlevel2"/>
        <w:spacing w:before="0" w:beforeAutospacing="0" w:after="0" w:afterAutospacing="0"/>
        <w:ind w:left="964" w:right="397"/>
        <w:jc w:val="both"/>
        <w:rPr>
          <w:rFonts w:ascii="Arial" w:hAnsi="Arial" w:cs="Arial"/>
          <w:sz w:val="20"/>
          <w:szCs w:val="20"/>
        </w:rPr>
      </w:pPr>
      <w:r>
        <w:rPr>
          <w:rFonts w:ascii="Arial" w:hAnsi="Arial" w:cs="Arial"/>
          <w:sz w:val="20"/>
          <w:szCs w:val="20"/>
        </w:rPr>
        <w:t>r</w:t>
      </w:r>
      <w:r w:rsidR="00720E1E">
        <w:rPr>
          <w:rFonts w:ascii="Arial" w:hAnsi="Arial" w:cs="Arial"/>
          <w:sz w:val="20"/>
          <w:szCs w:val="20"/>
        </w:rPr>
        <w:t>equirement does is limit the likelihood of a successful petition to only those decisions</w:t>
      </w:r>
    </w:p>
    <w:p w:rsidR="00720E1E" w:rsidRDefault="00226659" w:rsidP="00016E6B">
      <w:pPr>
        <w:pStyle w:val="indentlevel2"/>
        <w:spacing w:before="0" w:beforeAutospacing="0" w:after="0" w:afterAutospacing="0"/>
        <w:ind w:left="964" w:right="397"/>
        <w:jc w:val="both"/>
        <w:rPr>
          <w:rFonts w:ascii="Arial" w:hAnsi="Arial" w:cs="Arial"/>
          <w:sz w:val="20"/>
          <w:szCs w:val="20"/>
        </w:rPr>
      </w:pPr>
      <w:r>
        <w:rPr>
          <w:rFonts w:ascii="Arial" w:hAnsi="Arial" w:cs="Arial"/>
          <w:sz w:val="20"/>
          <w:szCs w:val="20"/>
        </w:rPr>
        <w:t>o</w:t>
      </w:r>
      <w:r w:rsidR="00720E1E">
        <w:rPr>
          <w:rFonts w:ascii="Arial" w:hAnsi="Arial" w:cs="Arial"/>
          <w:sz w:val="20"/>
          <w:szCs w:val="20"/>
        </w:rPr>
        <w:t>pposed by very well organized interest groups, not just a … group of citizens…. I</w:t>
      </w:r>
    </w:p>
    <w:p w:rsidR="001948C1" w:rsidRPr="00A0677E" w:rsidRDefault="00226659" w:rsidP="00016E6B">
      <w:pPr>
        <w:pStyle w:val="indentlevel2"/>
        <w:spacing w:before="0" w:beforeAutospacing="0" w:after="0" w:afterAutospacing="0"/>
        <w:ind w:left="964" w:right="397"/>
        <w:jc w:val="both"/>
        <w:rPr>
          <w:rFonts w:ascii="Arial" w:hAnsi="Arial" w:cs="Arial"/>
          <w:caps/>
        </w:rPr>
      </w:pPr>
      <w:r>
        <w:rPr>
          <w:rFonts w:ascii="Arial" w:hAnsi="Arial" w:cs="Arial"/>
          <w:sz w:val="20"/>
          <w:szCs w:val="20"/>
        </w:rPr>
        <w:t>b</w:t>
      </w:r>
      <w:r w:rsidR="00720E1E">
        <w:rPr>
          <w:rFonts w:ascii="Arial" w:hAnsi="Arial" w:cs="Arial"/>
          <w:sz w:val="20"/>
          <w:szCs w:val="20"/>
        </w:rPr>
        <w:t>elieve local governments would be more accountable if referenda were required for major capital projects</w:t>
      </w:r>
      <w:r>
        <w:rPr>
          <w:rFonts w:ascii="Arial" w:hAnsi="Arial" w:cs="Arial"/>
          <w:sz w:val="20"/>
          <w:szCs w:val="20"/>
        </w:rPr>
        <w:t>…. In summary, upping the counter-petition requirements for decisions that should be considered in a referendum is a move away from, not toward, accountability to citizens. Anyone concerned with the visibility of local governments and low voter turnout at municipal elections should be strongly in favour of increasing the visibility and interest in local government created by referenda, not trying to suppress them.”</w:t>
      </w:r>
      <w:r>
        <w:rPr>
          <w:rStyle w:val="FootnoteReference"/>
          <w:rFonts w:ascii="Arial" w:hAnsi="Arial" w:cs="Arial"/>
          <w:sz w:val="20"/>
          <w:szCs w:val="20"/>
        </w:rPr>
        <w:footnoteReference w:id="5"/>
      </w:r>
    </w:p>
    <w:p w:rsidR="001948C1" w:rsidRPr="00A0677E" w:rsidRDefault="001948C1" w:rsidP="00016E6B">
      <w:pPr>
        <w:pStyle w:val="indentlevel2"/>
        <w:spacing w:before="0" w:beforeAutospacing="0" w:after="0" w:afterAutospacing="0" w:line="480" w:lineRule="auto"/>
        <w:ind w:left="0" w:firstLine="720"/>
        <w:jc w:val="both"/>
        <w:rPr>
          <w:rFonts w:ascii="Arial" w:hAnsi="Arial" w:cs="Arial"/>
        </w:rPr>
      </w:pPr>
      <w:r w:rsidRPr="00A0677E">
        <w:rPr>
          <w:rFonts w:ascii="Arial" w:hAnsi="Arial" w:cs="Arial"/>
        </w:rPr>
        <w:t xml:space="preserve">Beyond provisions on counter petitions, perhaps the most stunning </w:t>
      </w:r>
      <w:r w:rsidR="009D3589">
        <w:rPr>
          <w:rFonts w:ascii="Arial" w:hAnsi="Arial" w:cs="Arial"/>
        </w:rPr>
        <w:t xml:space="preserve">legislative statement, eroding the </w:t>
      </w:r>
      <w:r w:rsidRPr="009D3589">
        <w:rPr>
          <w:rFonts w:ascii="Arial" w:hAnsi="Arial" w:cs="Arial"/>
          <w:i/>
        </w:rPr>
        <w:t>Community Charter</w:t>
      </w:r>
      <w:r w:rsidRPr="00A0677E">
        <w:rPr>
          <w:rFonts w:ascii="Arial" w:hAnsi="Arial" w:cs="Arial"/>
        </w:rPr>
        <w:t xml:space="preserve"> promise </w:t>
      </w:r>
      <w:r w:rsidR="009D3589">
        <w:rPr>
          <w:rFonts w:ascii="Arial" w:hAnsi="Arial" w:cs="Arial"/>
        </w:rPr>
        <w:t>wa</w:t>
      </w:r>
      <w:r w:rsidRPr="00A0677E">
        <w:rPr>
          <w:rFonts w:ascii="Arial" w:hAnsi="Arial" w:cs="Arial"/>
        </w:rPr>
        <w:t>s BC’s Bill 75</w:t>
      </w:r>
      <w:r w:rsidR="009D3589">
        <w:rPr>
          <w:rFonts w:ascii="Arial" w:hAnsi="Arial" w:cs="Arial"/>
        </w:rPr>
        <w:t xml:space="preserve"> - </w:t>
      </w:r>
      <w:r w:rsidRPr="00A0677E">
        <w:rPr>
          <w:rFonts w:ascii="Arial" w:hAnsi="Arial" w:cs="Arial"/>
        </w:rPr>
        <w:t xml:space="preserve">the </w:t>
      </w:r>
      <w:r w:rsidRPr="009D3589">
        <w:rPr>
          <w:rFonts w:ascii="Arial" w:hAnsi="Arial" w:cs="Arial"/>
          <w:i/>
        </w:rPr>
        <w:t>Significant Projects Streamlining Act</w:t>
      </w:r>
      <w:r w:rsidRPr="00A0677E">
        <w:rPr>
          <w:rFonts w:ascii="Arial" w:hAnsi="Arial" w:cs="Arial"/>
        </w:rPr>
        <w:t>. Introduced and passed in just three weeks in November 2003, the Act allow</w:t>
      </w:r>
      <w:r w:rsidR="009D3589">
        <w:rPr>
          <w:rFonts w:ascii="Arial" w:hAnsi="Arial" w:cs="Arial"/>
        </w:rPr>
        <w:t>ed</w:t>
      </w:r>
      <w:r w:rsidRPr="00A0677E">
        <w:rPr>
          <w:rFonts w:ascii="Arial" w:hAnsi="Arial" w:cs="Arial"/>
        </w:rPr>
        <w:t xml:space="preserve"> the provincial government to override any local governmental opposition on any project deemed of significant provincial interest. </w:t>
      </w:r>
      <w:r w:rsidR="009D3589">
        <w:rPr>
          <w:rFonts w:ascii="Arial" w:hAnsi="Arial" w:cs="Arial"/>
        </w:rPr>
        <w:t xml:space="preserve">Then </w:t>
      </w:r>
      <w:r w:rsidRPr="00A0677E">
        <w:rPr>
          <w:rFonts w:ascii="Arial" w:hAnsi="Arial" w:cs="Arial"/>
        </w:rPr>
        <w:t>Minister of State for Deregulation</w:t>
      </w:r>
      <w:r w:rsidRPr="00A0677E">
        <w:rPr>
          <w:rFonts w:ascii="Arial" w:hAnsi="Arial" w:cs="Arial"/>
          <w:b/>
        </w:rPr>
        <w:t xml:space="preserve"> </w:t>
      </w:r>
      <w:r w:rsidR="009D3589" w:rsidRPr="009D3589">
        <w:rPr>
          <w:rFonts w:ascii="Arial" w:hAnsi="Arial" w:cs="Arial"/>
        </w:rPr>
        <w:t>and subsequently for Transportation</w:t>
      </w:r>
      <w:r w:rsidRPr="00A0677E">
        <w:rPr>
          <w:rFonts w:ascii="Arial" w:hAnsi="Arial" w:cs="Arial"/>
        </w:rPr>
        <w:t xml:space="preserve"> Kevin Falcon noted that the </w:t>
      </w:r>
      <w:r w:rsidRPr="00A0677E">
        <w:rPr>
          <w:rFonts w:ascii="Arial" w:hAnsi="Arial" w:cs="Arial"/>
        </w:rPr>
        <w:lastRenderedPageBreak/>
        <w:t>intent of the Act was to ‘cut red tape’, ‘remove unnecessary and costly delays’, and ‘create new economic activities’. The Significant Projects initiative produced an official, highly critical UBCM response with over half of the UBCM member municipalities passing motions condemning Bill 75. According to a UBCM press release:</w:t>
      </w:r>
    </w:p>
    <w:p w:rsidR="001948C1" w:rsidRPr="009D3589" w:rsidRDefault="001948C1" w:rsidP="00016E6B">
      <w:pPr>
        <w:pStyle w:val="indentlevel2"/>
        <w:spacing w:before="0" w:beforeAutospacing="0" w:after="0" w:afterAutospacing="0"/>
        <w:ind w:left="720" w:right="720"/>
        <w:jc w:val="both"/>
        <w:rPr>
          <w:rFonts w:ascii="Arial" w:hAnsi="Arial" w:cs="Arial"/>
          <w:sz w:val="20"/>
          <w:szCs w:val="20"/>
        </w:rPr>
      </w:pPr>
      <w:r w:rsidRPr="009D3589">
        <w:rPr>
          <w:rFonts w:ascii="Arial" w:hAnsi="Arial" w:cs="Arial"/>
          <w:sz w:val="20"/>
          <w:szCs w:val="20"/>
        </w:rPr>
        <w:t xml:space="preserve">The UBCM Executive is shocked by the degree of intrusion of this legislation into local affairs. It allows </w:t>
      </w:r>
      <w:r w:rsidRPr="009D3589">
        <w:rPr>
          <w:rFonts w:ascii="Arial" w:hAnsi="Arial" w:cs="Arial"/>
          <w:i/>
          <w:sz w:val="20"/>
          <w:szCs w:val="20"/>
        </w:rPr>
        <w:t>any</w:t>
      </w:r>
      <w:r w:rsidRPr="009D3589">
        <w:rPr>
          <w:rFonts w:ascii="Arial" w:hAnsi="Arial" w:cs="Arial"/>
          <w:sz w:val="20"/>
          <w:szCs w:val="20"/>
        </w:rPr>
        <w:t xml:space="preserve"> Minister . . . to replace </w:t>
      </w:r>
      <w:r w:rsidRPr="009D3589">
        <w:rPr>
          <w:rFonts w:ascii="Arial" w:hAnsi="Arial" w:cs="Arial"/>
          <w:sz w:val="20"/>
          <w:szCs w:val="20"/>
          <w:u w:val="single"/>
        </w:rPr>
        <w:t>any</w:t>
      </w:r>
      <w:r w:rsidRPr="009D3589">
        <w:rPr>
          <w:rFonts w:ascii="Arial" w:hAnsi="Arial" w:cs="Arial"/>
          <w:sz w:val="20"/>
          <w:szCs w:val="20"/>
        </w:rPr>
        <w:t xml:space="preserve"> local government bylaw, plan, regulation, policy, etc. to facilitate the approval or development of a ‘provincially significant project’. Cabinet can make that determination without </w:t>
      </w:r>
      <w:r w:rsidRPr="009D3589">
        <w:rPr>
          <w:rFonts w:ascii="Arial" w:hAnsi="Arial" w:cs="Arial"/>
          <w:i/>
          <w:sz w:val="20"/>
          <w:szCs w:val="20"/>
        </w:rPr>
        <w:t>any prior</w:t>
      </w:r>
      <w:r w:rsidRPr="009D3589">
        <w:rPr>
          <w:rFonts w:ascii="Arial" w:hAnsi="Arial" w:cs="Arial"/>
          <w:sz w:val="20"/>
          <w:szCs w:val="20"/>
        </w:rPr>
        <w:t xml:space="preserve"> notice to the local government or the community. The </w:t>
      </w:r>
      <w:r w:rsidRPr="00617111">
        <w:rPr>
          <w:rFonts w:ascii="Arial" w:hAnsi="Arial" w:cs="Arial"/>
          <w:i/>
          <w:sz w:val="20"/>
          <w:szCs w:val="20"/>
        </w:rPr>
        <w:t>Community Charter</w:t>
      </w:r>
      <w:r w:rsidRPr="009D3589">
        <w:rPr>
          <w:rFonts w:ascii="Arial" w:hAnsi="Arial" w:cs="Arial"/>
          <w:sz w:val="20"/>
          <w:szCs w:val="20"/>
        </w:rPr>
        <w:t xml:space="preserve"> . . . promised us recognition as an independent, accountable and responsible order of government. . . . The </w:t>
      </w:r>
      <w:r w:rsidRPr="00617111">
        <w:rPr>
          <w:rFonts w:ascii="Arial" w:hAnsi="Arial" w:cs="Arial"/>
          <w:i/>
          <w:sz w:val="20"/>
          <w:szCs w:val="20"/>
        </w:rPr>
        <w:t>Community Charter</w:t>
      </w:r>
      <w:r w:rsidRPr="009D3589">
        <w:rPr>
          <w:rFonts w:ascii="Arial" w:hAnsi="Arial" w:cs="Arial"/>
          <w:sz w:val="20"/>
          <w:szCs w:val="20"/>
        </w:rPr>
        <w:t xml:space="preserve"> touted public accountability and openness but Bill 75 replaces local, publicly developed plans (including those developed through public hearing processes) with fiats from the provincial Minister. We recognize there is a need to balance local and provincial interests. . . . This is just not the way to achieve it. The Executive is calling on the provincial government to remove local government from Bill 75. (UBCM, 2003)</w:t>
      </w:r>
    </w:p>
    <w:p w:rsidR="001948C1" w:rsidRPr="003D37EB" w:rsidRDefault="001948C1" w:rsidP="00016E6B">
      <w:pPr>
        <w:pStyle w:val="indentlevel2"/>
        <w:spacing w:before="0" w:beforeAutospacing="0" w:after="0" w:afterAutospacing="0" w:line="480" w:lineRule="auto"/>
        <w:ind w:left="0" w:firstLine="720"/>
        <w:jc w:val="both"/>
        <w:rPr>
          <w:rFonts w:ascii="Arial" w:hAnsi="Arial" w:cs="Arial"/>
          <w:sz w:val="16"/>
          <w:szCs w:val="16"/>
        </w:rPr>
      </w:pPr>
    </w:p>
    <w:p w:rsidR="001948C1" w:rsidRDefault="001948C1" w:rsidP="00016E6B">
      <w:pPr>
        <w:pStyle w:val="indentlevel2"/>
        <w:spacing w:before="0" w:beforeAutospacing="0" w:after="0" w:afterAutospacing="0" w:line="480" w:lineRule="auto"/>
        <w:ind w:left="0" w:firstLine="720"/>
        <w:jc w:val="both"/>
        <w:rPr>
          <w:rFonts w:cs="Arial"/>
        </w:rPr>
      </w:pPr>
      <w:r w:rsidRPr="00A0677E">
        <w:rPr>
          <w:rFonts w:ascii="Arial" w:hAnsi="Arial" w:cs="Arial"/>
        </w:rPr>
        <w:t>Similar school board experience in several of Ontario’s largest cities in the late period of Harris/Eaves Tory rule</w:t>
      </w:r>
      <w:r w:rsidR="003D37EB">
        <w:rPr>
          <w:rFonts w:ascii="Arial" w:hAnsi="Arial" w:cs="Arial"/>
        </w:rPr>
        <w:t xml:space="preserve"> mirrored such </w:t>
      </w:r>
      <w:r w:rsidRPr="00A0677E">
        <w:rPr>
          <w:rFonts w:ascii="Arial" w:hAnsi="Arial" w:cs="Arial"/>
        </w:rPr>
        <w:t xml:space="preserve">lessons. </w:t>
      </w:r>
      <w:r w:rsidR="003D37EB">
        <w:rPr>
          <w:rFonts w:ascii="Arial" w:hAnsi="Arial" w:cs="Arial"/>
        </w:rPr>
        <w:t>And in BC the</w:t>
      </w:r>
      <w:r w:rsidRPr="00A0677E">
        <w:rPr>
          <w:rFonts w:cs="Arial"/>
        </w:rPr>
        <w:t xml:space="preserve"> </w:t>
      </w:r>
      <w:r w:rsidRPr="003D37EB">
        <w:rPr>
          <w:rFonts w:ascii="Arial" w:hAnsi="Arial" w:cs="Arial"/>
        </w:rPr>
        <w:t xml:space="preserve">year 2004 started as 2003 </w:t>
      </w:r>
      <w:r w:rsidR="003D37EB">
        <w:rPr>
          <w:rFonts w:ascii="Arial" w:hAnsi="Arial" w:cs="Arial"/>
        </w:rPr>
        <w:t>ended</w:t>
      </w:r>
      <w:r w:rsidRPr="003D37EB">
        <w:rPr>
          <w:rFonts w:ascii="Arial" w:hAnsi="Arial" w:cs="Arial"/>
        </w:rPr>
        <w:t xml:space="preserve">, with the province again showing a disregard for local decision-making. In a </w:t>
      </w:r>
      <w:r w:rsidR="003D37EB">
        <w:rPr>
          <w:rFonts w:ascii="Arial" w:hAnsi="Arial" w:cs="Arial"/>
        </w:rPr>
        <w:t xml:space="preserve">small but telling </w:t>
      </w:r>
      <w:r w:rsidRPr="003D37EB">
        <w:rPr>
          <w:rFonts w:ascii="Arial" w:hAnsi="Arial" w:cs="Arial"/>
        </w:rPr>
        <w:t xml:space="preserve">example of provincial interference in local affairs, local police forces found out on 30 December 2003 that all bars and restaurants in BC would be allowed to stay open the next day, New Year’s Eve, until 4 a.m. The provincial Liquor Control and Licensing Act </w:t>
      </w:r>
      <w:r w:rsidR="003D37EB">
        <w:rPr>
          <w:rFonts w:ascii="Arial" w:hAnsi="Arial" w:cs="Arial"/>
        </w:rPr>
        <w:t>had been</w:t>
      </w:r>
      <w:r w:rsidRPr="003D37EB">
        <w:rPr>
          <w:rFonts w:ascii="Arial" w:hAnsi="Arial" w:cs="Arial"/>
        </w:rPr>
        <w:t xml:space="preserve"> amended in late 2002 allowing for this change but it was not implemented. Local police forces first learned of the change less than 48 hours before its impact, resulting in expensive overtime/shift changes, with all costs borne by the municipalities. The provincial legislation overr</w:t>
      </w:r>
      <w:r w:rsidR="003D37EB">
        <w:rPr>
          <w:rFonts w:ascii="Arial" w:hAnsi="Arial" w:cs="Arial"/>
        </w:rPr>
        <w:t>ode</w:t>
      </w:r>
      <w:r w:rsidRPr="003D37EB">
        <w:rPr>
          <w:rFonts w:ascii="Arial" w:hAnsi="Arial" w:cs="Arial"/>
        </w:rPr>
        <w:t xml:space="preserve"> municipal bylaws, and even when the changed hours were decided by the provincial agency no one informed municipal/policing officials until they found out the day before; the reason given by the province for this oversight: the legislation ‘did not require’ notification to local governments.</w:t>
      </w:r>
      <w:r w:rsidRPr="00A0677E">
        <w:rPr>
          <w:rFonts w:cs="Arial"/>
        </w:rPr>
        <w:t xml:space="preserve">  </w:t>
      </w:r>
    </w:p>
    <w:p w:rsidR="0077073F" w:rsidRDefault="0077073F" w:rsidP="00016E6B">
      <w:pPr>
        <w:pStyle w:val="indentlevel2"/>
        <w:spacing w:before="0" w:beforeAutospacing="0" w:after="0" w:afterAutospacing="0" w:line="480" w:lineRule="auto"/>
        <w:ind w:left="0" w:firstLine="720"/>
        <w:jc w:val="both"/>
        <w:rPr>
          <w:rFonts w:ascii="Arial" w:hAnsi="Arial" w:cs="Arial"/>
        </w:rPr>
      </w:pPr>
      <w:r w:rsidRPr="0077073F">
        <w:rPr>
          <w:rFonts w:ascii="Arial" w:hAnsi="Arial" w:cs="Arial"/>
        </w:rPr>
        <w:lastRenderedPageBreak/>
        <w:t>At the end of Gordon Campbell’s</w:t>
      </w:r>
      <w:r>
        <w:rPr>
          <w:rFonts w:ascii="Arial" w:hAnsi="Arial" w:cs="Arial"/>
        </w:rPr>
        <w:t xml:space="preserve"> first term, the provincial-municipal relationship was still more top-down than locally-based. If proof was in the pudding, what was needed was going back to the basic democratic recipe ingredients on local empowerment and accountability and start again. The lead-up to the 2010 Winter Olympics and a criticism of the premier’s policy style – skipping from focus to focus – came to the fore as the second term started following a clear General Election victory in 2005, despite the policy promise of</w:t>
      </w:r>
      <w:r w:rsidR="004D5CDE">
        <w:rPr>
          <w:rFonts w:ascii="Arial" w:hAnsi="Arial" w:cs="Arial"/>
        </w:rPr>
        <w:t xml:space="preserve"> Campbell’s first term</w:t>
      </w:r>
      <w:r>
        <w:rPr>
          <w:rFonts w:ascii="Arial" w:hAnsi="Arial" w:cs="Arial"/>
        </w:rPr>
        <w:t>.</w:t>
      </w:r>
    </w:p>
    <w:p w:rsidR="005009AE" w:rsidRDefault="005009AE" w:rsidP="00016E6B">
      <w:pPr>
        <w:pStyle w:val="Heading1"/>
        <w:spacing w:before="0"/>
        <w:jc w:val="both"/>
        <w:rPr>
          <w:rFonts w:ascii="Arial" w:hAnsi="Arial" w:cs="Arial"/>
          <w:sz w:val="24"/>
          <w:szCs w:val="24"/>
        </w:rPr>
      </w:pPr>
      <w:r w:rsidRPr="00A0677E">
        <w:rPr>
          <w:rFonts w:ascii="Arial" w:hAnsi="Arial" w:cs="Arial"/>
          <w:sz w:val="24"/>
          <w:szCs w:val="24"/>
        </w:rPr>
        <w:t>I</w:t>
      </w:r>
      <w:r>
        <w:rPr>
          <w:rFonts w:ascii="Arial" w:hAnsi="Arial" w:cs="Arial"/>
          <w:sz w:val="24"/>
          <w:szCs w:val="24"/>
        </w:rPr>
        <w:t>I</w:t>
      </w:r>
      <w:r w:rsidRPr="00A0677E">
        <w:rPr>
          <w:rFonts w:ascii="Arial" w:hAnsi="Arial" w:cs="Arial"/>
          <w:sz w:val="24"/>
          <w:szCs w:val="24"/>
        </w:rPr>
        <w:t>: Gordon Campbell’s</w:t>
      </w:r>
      <w:r>
        <w:rPr>
          <w:rFonts w:ascii="Arial" w:hAnsi="Arial" w:cs="Arial"/>
          <w:sz w:val="24"/>
          <w:szCs w:val="24"/>
        </w:rPr>
        <w:t xml:space="preserve"> Second Term: </w:t>
      </w:r>
    </w:p>
    <w:p w:rsidR="005009AE" w:rsidRPr="00A0677E" w:rsidRDefault="005009AE" w:rsidP="00016E6B">
      <w:pPr>
        <w:pStyle w:val="Heading1"/>
        <w:spacing w:before="0"/>
        <w:jc w:val="both"/>
        <w:rPr>
          <w:rFonts w:ascii="Arial" w:hAnsi="Arial" w:cs="Arial"/>
          <w:szCs w:val="24"/>
          <w:u w:val="single"/>
        </w:rPr>
      </w:pPr>
      <w:r>
        <w:rPr>
          <w:rFonts w:ascii="Arial" w:hAnsi="Arial" w:cs="Arial"/>
          <w:sz w:val="24"/>
          <w:szCs w:val="24"/>
        </w:rPr>
        <w:t>Forgotten Reform Agendas, New Project</w:t>
      </w:r>
      <w:r w:rsidR="0077073F">
        <w:rPr>
          <w:rFonts w:ascii="Arial" w:hAnsi="Arial" w:cs="Arial"/>
          <w:sz w:val="24"/>
          <w:szCs w:val="24"/>
        </w:rPr>
        <w:t>s</w:t>
      </w:r>
      <w:r>
        <w:rPr>
          <w:rFonts w:ascii="Arial" w:hAnsi="Arial" w:cs="Arial"/>
          <w:sz w:val="24"/>
          <w:szCs w:val="24"/>
        </w:rPr>
        <w:t xml:space="preserve"> and Agendas</w:t>
      </w:r>
      <w:r w:rsidRPr="00A0677E">
        <w:rPr>
          <w:rFonts w:ascii="Arial" w:hAnsi="Arial" w:cs="Arial"/>
          <w:szCs w:val="24"/>
        </w:rPr>
        <w:t>,</w:t>
      </w:r>
      <w:r w:rsidRPr="00A0677E">
        <w:rPr>
          <w:rFonts w:ascii="Arial" w:hAnsi="Arial" w:cs="Arial"/>
          <w:sz w:val="24"/>
          <w:szCs w:val="24"/>
        </w:rPr>
        <w:t xml:space="preserve"> 200</w:t>
      </w:r>
      <w:r>
        <w:rPr>
          <w:rFonts w:ascii="Arial" w:hAnsi="Arial" w:cs="Arial"/>
          <w:sz w:val="24"/>
          <w:szCs w:val="24"/>
        </w:rPr>
        <w:t>5</w:t>
      </w:r>
      <w:r w:rsidRPr="00A0677E">
        <w:rPr>
          <w:rFonts w:ascii="Arial" w:hAnsi="Arial" w:cs="Arial"/>
          <w:szCs w:val="24"/>
        </w:rPr>
        <w:t>–</w:t>
      </w:r>
      <w:r w:rsidRPr="004D5CDE">
        <w:rPr>
          <w:rFonts w:ascii="Arial" w:hAnsi="Arial" w:cs="Arial"/>
          <w:sz w:val="24"/>
          <w:szCs w:val="24"/>
        </w:rPr>
        <w:t>2009</w:t>
      </w:r>
    </w:p>
    <w:p w:rsidR="001948C1" w:rsidRPr="00400070" w:rsidRDefault="001948C1" w:rsidP="00016E6B">
      <w:pPr>
        <w:spacing w:line="480" w:lineRule="auto"/>
        <w:ind w:firstLine="720"/>
        <w:jc w:val="both"/>
        <w:rPr>
          <w:rFonts w:cs="Arial"/>
          <w:b/>
          <w:sz w:val="16"/>
          <w:szCs w:val="16"/>
        </w:rPr>
      </w:pPr>
    </w:p>
    <w:bookmarkEnd w:id="1"/>
    <w:p w:rsidR="00C15480" w:rsidRDefault="00FE59ED" w:rsidP="00016E6B">
      <w:pPr>
        <w:spacing w:line="480" w:lineRule="auto"/>
        <w:jc w:val="both"/>
        <w:rPr>
          <w:rFonts w:cs="Arial"/>
        </w:rPr>
      </w:pPr>
      <w:r>
        <w:rPr>
          <w:rFonts w:cs="Arial"/>
        </w:rPr>
        <w:tab/>
        <w:t xml:space="preserve">As others have noted, Gordon Campbell’s second term </w:t>
      </w:r>
      <w:r w:rsidR="00380DB5">
        <w:rPr>
          <w:rFonts w:cs="Arial"/>
        </w:rPr>
        <w:t xml:space="preserve">agenda </w:t>
      </w:r>
      <w:r>
        <w:rPr>
          <w:rFonts w:cs="Arial"/>
        </w:rPr>
        <w:t>was focused on</w:t>
      </w:r>
      <w:r w:rsidR="00380DB5">
        <w:rPr>
          <w:rFonts w:cs="Arial"/>
        </w:rPr>
        <w:t xml:space="preserve"> a new</w:t>
      </w:r>
      <w:r w:rsidR="004D5CDE">
        <w:rPr>
          <w:rFonts w:cs="Arial"/>
        </w:rPr>
        <w:t>, different</w:t>
      </w:r>
      <w:r w:rsidR="00380DB5">
        <w:rPr>
          <w:rFonts w:cs="Arial"/>
        </w:rPr>
        <w:t xml:space="preserve"> set of priorities. On matters </w:t>
      </w:r>
      <w:r w:rsidR="006B4D8D">
        <w:rPr>
          <w:rFonts w:cs="Arial"/>
        </w:rPr>
        <w:t>local/</w:t>
      </w:r>
      <w:r w:rsidR="00380DB5">
        <w:rPr>
          <w:rFonts w:cs="Arial"/>
        </w:rPr>
        <w:t>municipal, the 2005</w:t>
      </w:r>
      <w:r w:rsidR="006B4D8D">
        <w:rPr>
          <w:rFonts w:cs="Arial"/>
        </w:rPr>
        <w:t xml:space="preserve"> legislative list was mainly housekeeping.  With both a Spring and Autumn sitting, and the General Election in between, local legislative change was limited to miscellaneous amendments and a provision requiring municipalities to collect a parking site tax for the Greater Vancouver Transportation Authority.</w:t>
      </w:r>
      <w:r w:rsidR="006B4D8D">
        <w:rPr>
          <w:rStyle w:val="FootnoteReference"/>
          <w:rFonts w:cs="Arial"/>
        </w:rPr>
        <w:footnoteReference w:id="6"/>
      </w:r>
      <w:r w:rsidR="00130BEC">
        <w:rPr>
          <w:rFonts w:cs="Arial"/>
        </w:rPr>
        <w:t xml:space="preserve"> </w:t>
      </w:r>
    </w:p>
    <w:p w:rsidR="002034F3" w:rsidRDefault="00D762F3" w:rsidP="00016E6B">
      <w:pPr>
        <w:spacing w:line="480" w:lineRule="auto"/>
        <w:jc w:val="both"/>
        <w:rPr>
          <w:rFonts w:cs="Arial"/>
        </w:rPr>
      </w:pPr>
      <w:r>
        <w:rPr>
          <w:rFonts w:cs="Arial"/>
        </w:rPr>
        <w:tab/>
        <w:t xml:space="preserve">By 2006, Vancouver’s successful bid for the 2010 Winter Olympics came to be the biggest driver of </w:t>
      </w:r>
      <w:r w:rsidR="004D5CDE">
        <w:rPr>
          <w:rFonts w:cs="Arial"/>
        </w:rPr>
        <w:t xml:space="preserve">provincial </w:t>
      </w:r>
      <w:r>
        <w:rPr>
          <w:rFonts w:cs="Arial"/>
        </w:rPr>
        <w:t>policy initiatives. That timetable, and the requirements posed by the IOC, meant that when provincial interests came to clash with local-regional ones, the provincial government insisted – at times in legislated form – on prevailing. While not a terribly surprising outcome, in 2013, local, and especially regional, matters</w:t>
      </w:r>
      <w:r w:rsidR="002034F3">
        <w:rPr>
          <w:rFonts w:cs="Arial"/>
        </w:rPr>
        <w:t xml:space="preserve"> still resonated </w:t>
      </w:r>
      <w:r w:rsidR="0025030C">
        <w:rPr>
          <w:rFonts w:cs="Arial"/>
        </w:rPr>
        <w:t>with</w:t>
      </w:r>
      <w:r w:rsidR="002034F3">
        <w:rPr>
          <w:rFonts w:cs="Arial"/>
        </w:rPr>
        <w:t xml:space="preserve"> some of these 2</w:t>
      </w:r>
      <w:r w:rsidR="002034F3" w:rsidRPr="002034F3">
        <w:rPr>
          <w:rFonts w:cs="Arial"/>
          <w:vertAlign w:val="superscript"/>
        </w:rPr>
        <w:t>nd</w:t>
      </w:r>
      <w:r w:rsidR="002034F3">
        <w:rPr>
          <w:rFonts w:cs="Arial"/>
        </w:rPr>
        <w:t xml:space="preserve"> term</w:t>
      </w:r>
      <w:r w:rsidR="0025030C">
        <w:rPr>
          <w:rFonts w:cs="Arial"/>
        </w:rPr>
        <w:t xml:space="preserve"> Campbell</w:t>
      </w:r>
      <w:r w:rsidR="002034F3">
        <w:rPr>
          <w:rFonts w:cs="Arial"/>
        </w:rPr>
        <w:t xml:space="preserve"> legislative changes:</w:t>
      </w:r>
    </w:p>
    <w:p w:rsidR="00D762F3" w:rsidRDefault="002034F3" w:rsidP="00016E6B">
      <w:pPr>
        <w:spacing w:line="480" w:lineRule="auto"/>
        <w:jc w:val="both"/>
        <w:rPr>
          <w:rFonts w:cs="Arial"/>
        </w:rPr>
      </w:pPr>
      <w:r>
        <w:rPr>
          <w:rFonts w:cs="Arial"/>
        </w:rPr>
        <w:lastRenderedPageBreak/>
        <w:tab/>
        <w:t>The 2007 local governing legislative changes allowed for the creation of Resort Regions – and additional designation for the financing, development and governance of Resort Municipalities. (Bill 11).</w:t>
      </w:r>
      <w:r w:rsidR="00D762F3">
        <w:rPr>
          <w:rFonts w:cs="Arial"/>
        </w:rPr>
        <w:t xml:space="preserve"> </w:t>
      </w:r>
      <w:r w:rsidR="00F00491">
        <w:rPr>
          <w:rFonts w:cs="Arial"/>
        </w:rPr>
        <w:t xml:space="preserve">And a Miscellaneous Statutes Amendment Act (Bill 35) on some new taxation rules. Other minor amendments – eg on tobacco in public places,  legislation to allow the province to collect up to 50% of local policing costs from small </w:t>
      </w:r>
      <w:r w:rsidR="00567784">
        <w:rPr>
          <w:rFonts w:cs="Arial"/>
        </w:rPr>
        <w:t>municipalities</w:t>
      </w:r>
      <w:r w:rsidR="00F00491">
        <w:rPr>
          <w:rFonts w:cs="Arial"/>
        </w:rPr>
        <w:t>, and provincial ratification of the Tsawwassen First Nation treaty (Bill 40) – were also part of the 2007 legislative calendar.</w:t>
      </w:r>
    </w:p>
    <w:p w:rsidR="00C15480" w:rsidRDefault="00F00491" w:rsidP="00016E6B">
      <w:pPr>
        <w:spacing w:line="480" w:lineRule="auto"/>
        <w:jc w:val="both"/>
        <w:rPr>
          <w:rFonts w:cs="Arial"/>
        </w:rPr>
      </w:pPr>
      <w:r>
        <w:rPr>
          <w:rFonts w:cs="Arial"/>
        </w:rPr>
        <w:tab/>
        <w:t xml:space="preserve">The major change – one still resonating </w:t>
      </w:r>
      <w:r w:rsidR="0025030C">
        <w:rPr>
          <w:rFonts w:cs="Arial"/>
        </w:rPr>
        <w:t xml:space="preserve">after </w:t>
      </w:r>
      <w:r>
        <w:rPr>
          <w:rFonts w:cs="Arial"/>
        </w:rPr>
        <w:t>the</w:t>
      </w:r>
      <w:r w:rsidR="0068340C">
        <w:rPr>
          <w:rFonts w:cs="Arial"/>
        </w:rPr>
        <w:t xml:space="preserve"> May,</w:t>
      </w:r>
      <w:r>
        <w:rPr>
          <w:rFonts w:cs="Arial"/>
        </w:rPr>
        <w:t xml:space="preserve"> 2013 General Election - was </w:t>
      </w:r>
      <w:r w:rsidR="0060711E">
        <w:rPr>
          <w:rFonts w:cs="Arial"/>
        </w:rPr>
        <w:t xml:space="preserve">Campbell’s </w:t>
      </w:r>
      <w:r>
        <w:rPr>
          <w:rFonts w:cs="Arial"/>
        </w:rPr>
        <w:t xml:space="preserve">legislative reaction to Greater Vancouver/Metro Vancouver/Translink frustration of </w:t>
      </w:r>
      <w:r w:rsidR="0068340C">
        <w:rPr>
          <w:rFonts w:cs="Arial"/>
        </w:rPr>
        <w:t>BC’s</w:t>
      </w:r>
      <w:r>
        <w:rPr>
          <w:rFonts w:cs="Arial"/>
        </w:rPr>
        <w:t xml:space="preserve"> Olympic rapid transit</w:t>
      </w:r>
      <w:r w:rsidR="0068340C">
        <w:rPr>
          <w:rFonts w:cs="Arial"/>
        </w:rPr>
        <w:t>/transportation</w:t>
      </w:r>
      <w:r>
        <w:rPr>
          <w:rFonts w:cs="Arial"/>
        </w:rPr>
        <w:t xml:space="preserve"> plans. Bill 43 – the Greater Vancouver Transportation Authority Amendment Act </w:t>
      </w:r>
      <w:r w:rsidR="00DF28C3">
        <w:rPr>
          <w:rFonts w:cs="Arial"/>
        </w:rPr>
        <w:t>–</w:t>
      </w:r>
      <w:r>
        <w:rPr>
          <w:rFonts w:cs="Arial"/>
        </w:rPr>
        <w:t xml:space="preserve"> </w:t>
      </w:r>
      <w:r w:rsidR="00DF28C3">
        <w:rPr>
          <w:rFonts w:cs="Arial"/>
        </w:rPr>
        <w:t xml:space="preserve">largely stripped the </w:t>
      </w:r>
      <w:r w:rsidR="0025030C">
        <w:rPr>
          <w:rFonts w:cs="Arial"/>
        </w:rPr>
        <w:t>local-</w:t>
      </w:r>
      <w:r w:rsidR="00DF28C3">
        <w:rPr>
          <w:rFonts w:cs="Arial"/>
        </w:rPr>
        <w:t>regional role in transportation planning, creat</w:t>
      </w:r>
      <w:r w:rsidR="0025030C">
        <w:rPr>
          <w:rFonts w:cs="Arial"/>
        </w:rPr>
        <w:t>ed</w:t>
      </w:r>
      <w:r w:rsidR="00DF28C3">
        <w:rPr>
          <w:rFonts w:cs="Arial"/>
        </w:rPr>
        <w:t xml:space="preserve"> an appointed Corporate Board structure and limit</w:t>
      </w:r>
      <w:r w:rsidR="004D5CDE">
        <w:rPr>
          <w:rFonts w:cs="Arial"/>
        </w:rPr>
        <w:t>ed – though did not eliminate -</w:t>
      </w:r>
      <w:r w:rsidR="00DF28C3">
        <w:rPr>
          <w:rFonts w:cs="Arial"/>
        </w:rPr>
        <w:t xml:space="preserve"> local input into decision-making at Translink – now renamed the South Coast British Columbia Transportation Authority.</w:t>
      </w:r>
      <w:r w:rsidR="00C20BA8">
        <w:rPr>
          <w:rStyle w:val="FootnoteReference"/>
          <w:rFonts w:cs="Arial"/>
        </w:rPr>
        <w:footnoteReference w:id="7"/>
      </w:r>
    </w:p>
    <w:p w:rsidR="0025030C" w:rsidRDefault="0068340C" w:rsidP="00016E6B">
      <w:pPr>
        <w:spacing w:line="480" w:lineRule="auto"/>
        <w:jc w:val="both"/>
        <w:rPr>
          <w:rFonts w:cs="Arial"/>
        </w:rPr>
      </w:pPr>
      <w:r>
        <w:rPr>
          <w:rFonts w:cs="Arial"/>
        </w:rPr>
        <w:tab/>
        <w:t xml:space="preserve">The resulting disjuncture between who should pay and who’s </w:t>
      </w:r>
      <w:r w:rsidR="004D5CDE">
        <w:rPr>
          <w:rFonts w:cs="Arial"/>
        </w:rPr>
        <w:t>tail wags this dog</w:t>
      </w:r>
      <w:r>
        <w:rPr>
          <w:rFonts w:cs="Arial"/>
        </w:rPr>
        <w:t xml:space="preserve"> (i</w:t>
      </w:r>
      <w:r w:rsidR="0060711E">
        <w:rPr>
          <w:rFonts w:cs="Arial"/>
        </w:rPr>
        <w:t>s</w:t>
      </w:r>
      <w:r>
        <w:rPr>
          <w:rFonts w:cs="Arial"/>
        </w:rPr>
        <w:t xml:space="preserve"> that another title??)</w:t>
      </w:r>
      <w:r w:rsidR="0060711E">
        <w:rPr>
          <w:rFonts w:cs="Arial"/>
        </w:rPr>
        <w:t xml:space="preserve"> in BC’s largest metropolitan region</w:t>
      </w:r>
      <w:r>
        <w:rPr>
          <w:rFonts w:cs="Arial"/>
        </w:rPr>
        <w:t xml:space="preserve"> represented one of the major failures of the Campbell decade on municipal-regional matters.</w:t>
      </w:r>
      <w:r w:rsidR="0060711E">
        <w:rPr>
          <w:rFonts w:cs="Arial"/>
        </w:rPr>
        <w:t xml:space="preserve"> </w:t>
      </w:r>
    </w:p>
    <w:p w:rsidR="0068340C" w:rsidRDefault="00C20BA8" w:rsidP="00016E6B">
      <w:pPr>
        <w:spacing w:line="480" w:lineRule="auto"/>
        <w:ind w:firstLine="720"/>
        <w:jc w:val="both"/>
        <w:rPr>
          <w:rFonts w:cs="Arial"/>
        </w:rPr>
      </w:pPr>
      <w:r>
        <w:rPr>
          <w:rFonts w:cs="Arial"/>
        </w:rPr>
        <w:t>BC’s Regional District system was created in the mid-1960’s.</w:t>
      </w:r>
      <w:r>
        <w:rPr>
          <w:rStyle w:val="FootnoteReference"/>
          <w:rFonts w:cs="Arial"/>
        </w:rPr>
        <w:footnoteReference w:id="8"/>
      </w:r>
      <w:r w:rsidR="0025030C">
        <w:rPr>
          <w:rFonts w:cs="Arial"/>
        </w:rPr>
        <w:t xml:space="preserve"> As a form of consensus-based regional decision-making</w:t>
      </w:r>
      <w:r w:rsidR="00B230E4">
        <w:rPr>
          <w:rFonts w:cs="Arial"/>
        </w:rPr>
        <w:t xml:space="preserve">, Regional Districts worked remarkably well. </w:t>
      </w:r>
      <w:r w:rsidR="00B230E4">
        <w:rPr>
          <w:rFonts w:cs="Arial"/>
        </w:rPr>
        <w:lastRenderedPageBreak/>
        <w:t>This was particularly the case in Greater Vancouver because finding regional solutions to major service delivery challenges such as water, sewage/drainage, flood control, etc., had been locally-inspired from before WWI. By 1948, a Lower Mainland Regional Planning Board was functioning, producing a regional plan in the early 1960’s. This relatively high degree of local consensus on regional issues generally found provincial ‘blessing’ where needed, in a form Tennant and Zirnhelt referred to as “gentle imposition”.</w:t>
      </w:r>
      <w:r w:rsidR="00B230E4">
        <w:rPr>
          <w:rStyle w:val="FootnoteReference"/>
          <w:rFonts w:cs="Arial"/>
        </w:rPr>
        <w:footnoteReference w:id="9"/>
      </w:r>
      <w:r w:rsidR="00E73B76">
        <w:rPr>
          <w:rFonts w:cs="Arial"/>
        </w:rPr>
        <w:t xml:space="preserve"> </w:t>
      </w:r>
    </w:p>
    <w:p w:rsidR="006662CC" w:rsidRDefault="006662CC" w:rsidP="00016E6B">
      <w:pPr>
        <w:spacing w:line="480" w:lineRule="auto"/>
        <w:ind w:firstLine="720"/>
        <w:jc w:val="both"/>
        <w:rPr>
          <w:rFonts w:cs="Arial"/>
        </w:rPr>
      </w:pPr>
      <w:r>
        <w:rPr>
          <w:rFonts w:cs="Arial"/>
        </w:rPr>
        <w:t xml:space="preserve">In the mid 1970’s, Greater Vancouver agreed to a </w:t>
      </w:r>
      <w:r>
        <w:rPr>
          <w:rFonts w:cs="Arial"/>
          <w:i/>
        </w:rPr>
        <w:t xml:space="preserve">Livable Region Plan. </w:t>
      </w:r>
      <w:r>
        <w:rPr>
          <w:rFonts w:cs="Arial"/>
        </w:rPr>
        <w:t>That was followed by some early 1980’s disagreements between the province and region over preservation of farmlands, the region wishing to retain such. Bill 9, in the Bill Bennett Restraint Program of 1983 saw the province strip ALL regional districts of regional planning responsibilities as a result.</w:t>
      </w:r>
      <w:r>
        <w:rPr>
          <w:rStyle w:val="FootnoteReference"/>
          <w:rFonts w:cs="Arial"/>
        </w:rPr>
        <w:footnoteReference w:id="10"/>
      </w:r>
    </w:p>
    <w:p w:rsidR="006662CC" w:rsidRDefault="006662CC" w:rsidP="00016E6B">
      <w:pPr>
        <w:spacing w:line="480" w:lineRule="auto"/>
        <w:ind w:firstLine="720"/>
        <w:jc w:val="both"/>
        <w:rPr>
          <w:rFonts w:cs="Arial"/>
        </w:rPr>
      </w:pPr>
      <w:r>
        <w:rPr>
          <w:rFonts w:cs="Arial"/>
        </w:rPr>
        <w:t>The strength of the regional planning ethos was sufficient that it continued, certainly in metro Vancouver under guises like Development Services’, and the NDP restored regional planning in the 1990’s. Like the 1980’s, h</w:t>
      </w:r>
      <w:r w:rsidR="00E57C0E">
        <w:rPr>
          <w:rFonts w:cs="Arial"/>
        </w:rPr>
        <w:t>o</w:t>
      </w:r>
      <w:r>
        <w:rPr>
          <w:rFonts w:cs="Arial"/>
        </w:rPr>
        <w:t>wever</w:t>
      </w:r>
      <w:r w:rsidR="00E57C0E">
        <w:rPr>
          <w:rFonts w:cs="Arial"/>
        </w:rPr>
        <w:t xml:space="preserve">, eventual provision of transportation planning to go with </w:t>
      </w:r>
      <w:r w:rsidR="004D5CDE">
        <w:rPr>
          <w:rFonts w:cs="Arial"/>
        </w:rPr>
        <w:t xml:space="preserve">this </w:t>
      </w:r>
      <w:r w:rsidR="00E57C0E">
        <w:rPr>
          <w:rFonts w:cs="Arial"/>
        </w:rPr>
        <w:t>land use planning by regional decision-makers near the end of the NDP decade before Campbell</w:t>
      </w:r>
      <w:r w:rsidR="00EF39DD">
        <w:rPr>
          <w:rFonts w:cs="Arial"/>
        </w:rPr>
        <w:t xml:space="preserve"> </w:t>
      </w:r>
      <w:r w:rsidR="00E57C0E">
        <w:rPr>
          <w:rFonts w:cs="Arial"/>
        </w:rPr>
        <w:t>came to reflect different priorities. To be fair, each</w:t>
      </w:r>
      <w:r w:rsidR="00895DC7">
        <w:rPr>
          <w:rFonts w:cs="Arial"/>
        </w:rPr>
        <w:t xml:space="preserve"> recent government, NDP or Liberal have made their own decisions – on rapid transit technology, on financing transportation improvements and most fundamentally on transportation governance. </w:t>
      </w:r>
    </w:p>
    <w:p w:rsidR="00895DC7" w:rsidRDefault="00895DC7" w:rsidP="00016E6B">
      <w:pPr>
        <w:spacing w:line="480" w:lineRule="auto"/>
        <w:ind w:firstLine="720"/>
        <w:jc w:val="both"/>
        <w:rPr>
          <w:rFonts w:cs="Arial"/>
        </w:rPr>
      </w:pPr>
      <w:r>
        <w:rPr>
          <w:rFonts w:cs="Arial"/>
        </w:rPr>
        <w:lastRenderedPageBreak/>
        <w:t xml:space="preserve">Left to their own devises, regional authorities have proven entirely capable of achieving consensus re: planning. Gordon Campbell’s Olympic dreams presented a challenge to the promises of the </w:t>
      </w:r>
      <w:r w:rsidRPr="00EF39DD">
        <w:rPr>
          <w:rFonts w:cs="Arial"/>
          <w:i/>
        </w:rPr>
        <w:t>Community Charter</w:t>
      </w:r>
      <w:r w:rsidR="009C338F">
        <w:rPr>
          <w:rFonts w:cs="Arial"/>
        </w:rPr>
        <w:t>. The IOC and the Feds emphasized rapid transit connections</w:t>
      </w:r>
      <w:r w:rsidR="003275FF">
        <w:rPr>
          <w:rFonts w:cs="Arial"/>
        </w:rPr>
        <w:t xml:space="preserve"> (RAV Line)</w:t>
      </w:r>
      <w:r w:rsidR="009C338F">
        <w:rPr>
          <w:rFonts w:cs="Arial"/>
        </w:rPr>
        <w:t xml:space="preserve"> between Vancouver’s International airport (YVR) and downtown Vancouver. The region had already planned and promised that the NorthEast municipalities would get the next major investment in transit – the Evergreen Line.  This was their ‘reward’ for taking growth from the 1996 </w:t>
      </w:r>
      <w:r w:rsidR="009C338F" w:rsidRPr="009C338F">
        <w:rPr>
          <w:rFonts w:cs="Arial"/>
          <w:i/>
        </w:rPr>
        <w:t>Livable Region Strategic Plan.</w:t>
      </w:r>
      <w:r w:rsidR="009C338F">
        <w:rPr>
          <w:rFonts w:cs="Arial"/>
          <w:i/>
        </w:rPr>
        <w:t xml:space="preserve"> </w:t>
      </w:r>
      <w:r w:rsidR="009C338F">
        <w:rPr>
          <w:rFonts w:cs="Arial"/>
        </w:rPr>
        <w:t>The Olympics brought federal funds for such infrastructure to match provincial contri</w:t>
      </w:r>
      <w:r w:rsidR="003275FF">
        <w:rPr>
          <w:rFonts w:cs="Arial"/>
        </w:rPr>
        <w:t>b</w:t>
      </w:r>
      <w:r w:rsidR="009C338F">
        <w:rPr>
          <w:rFonts w:cs="Arial"/>
        </w:rPr>
        <w:t>utions</w:t>
      </w:r>
      <w:r w:rsidR="003275FF">
        <w:rPr>
          <w:rFonts w:cs="Arial"/>
        </w:rPr>
        <w:t xml:space="preserve"> and a priority shift at the province to the RAV line over the already agreed Evergreen Line. Local mayors balked. Additional pressure was placed by the Minister of Transportation; again they balked. Evergreen was their promised regional priority</w:t>
      </w:r>
      <w:r w:rsidR="00EF39DD">
        <w:rPr>
          <w:rFonts w:cs="Arial"/>
        </w:rPr>
        <w:t xml:space="preserve"> – and there were misgivings about RAV’s P3 aspects.</w:t>
      </w:r>
      <w:r w:rsidR="003275FF">
        <w:rPr>
          <w:rFonts w:cs="Arial"/>
        </w:rPr>
        <w:t>.</w:t>
      </w:r>
    </w:p>
    <w:p w:rsidR="00971F9D" w:rsidRDefault="003275FF" w:rsidP="00016E6B">
      <w:pPr>
        <w:spacing w:line="480" w:lineRule="auto"/>
        <w:ind w:firstLine="720"/>
        <w:jc w:val="both"/>
        <w:rPr>
          <w:rFonts w:cs="Arial"/>
        </w:rPr>
      </w:pPr>
      <w:r>
        <w:rPr>
          <w:rFonts w:cs="Arial"/>
        </w:rPr>
        <w:t xml:space="preserve">The Campbell Government’s reaction was to set up a “study”, brand the locally-controlled Translink Board as dysfunctional and incapable of making a decision and introducing Bill 43 – creating a very different, less locally-controlled Translink governance structure – the South Coast British Columbia Transportation Authority.  Day to day operations were under an appointed Corporate Board. A Mayors’ Council with limited powers kept some decisional </w:t>
      </w:r>
      <w:r w:rsidR="00567784">
        <w:rPr>
          <w:rFonts w:cs="Arial"/>
        </w:rPr>
        <w:t>authority</w:t>
      </w:r>
      <w:r>
        <w:rPr>
          <w:rFonts w:cs="Arial"/>
        </w:rPr>
        <w:t xml:space="preserve"> and a Regional Transportation Commission </w:t>
      </w:r>
      <w:r w:rsidR="00EF39DD">
        <w:rPr>
          <w:rFonts w:cs="Arial"/>
        </w:rPr>
        <w:t>had</w:t>
      </w:r>
      <w:r>
        <w:rPr>
          <w:rFonts w:cs="Arial"/>
        </w:rPr>
        <w:t xml:space="preserve"> various responsibilities including setting fares.</w:t>
      </w:r>
      <w:r w:rsidR="00971F9D">
        <w:rPr>
          <w:rStyle w:val="FootnoteReference"/>
          <w:rFonts w:cs="Arial"/>
        </w:rPr>
        <w:footnoteReference w:id="11"/>
      </w:r>
      <w:r w:rsidR="00971F9D">
        <w:rPr>
          <w:rFonts w:cs="Arial"/>
        </w:rPr>
        <w:t xml:space="preserve"> </w:t>
      </w:r>
    </w:p>
    <w:p w:rsidR="003275FF" w:rsidRPr="009C338F" w:rsidRDefault="00971F9D" w:rsidP="00016E6B">
      <w:pPr>
        <w:spacing w:line="480" w:lineRule="auto"/>
        <w:ind w:firstLine="720"/>
        <w:jc w:val="both"/>
        <w:rPr>
          <w:rFonts w:cs="Arial"/>
        </w:rPr>
      </w:pPr>
      <w:r>
        <w:rPr>
          <w:rFonts w:cs="Arial"/>
        </w:rPr>
        <w:t xml:space="preserve">If anything, </w:t>
      </w:r>
      <w:r w:rsidR="00EF39DD">
        <w:rPr>
          <w:rFonts w:cs="Arial"/>
        </w:rPr>
        <w:t xml:space="preserve">over his remaining time in office, </w:t>
      </w:r>
      <w:r>
        <w:rPr>
          <w:rFonts w:cs="Arial"/>
        </w:rPr>
        <w:t>the Campbell-inspired regional transportation governance structure proved less functional than its</w:t>
      </w:r>
      <w:r w:rsidR="00EF39DD">
        <w:rPr>
          <w:rFonts w:cs="Arial"/>
        </w:rPr>
        <w:t xml:space="preserve"> loca--regional</w:t>
      </w:r>
      <w:r>
        <w:rPr>
          <w:rFonts w:cs="Arial"/>
        </w:rPr>
        <w:t xml:space="preserve"> predecessor. As with other Campbell changes, efficiency was the predominant policy </w:t>
      </w:r>
      <w:r>
        <w:rPr>
          <w:rFonts w:cs="Arial"/>
        </w:rPr>
        <w:lastRenderedPageBreak/>
        <w:t>driver; but a lack of essential accountability proved the Lambert Commission’s central point: “in a democracy, you cannot have efficiency without accountability.”</w:t>
      </w:r>
      <w:r>
        <w:rPr>
          <w:rStyle w:val="FootnoteReference"/>
          <w:rFonts w:cs="Arial"/>
        </w:rPr>
        <w:footnoteReference w:id="12"/>
      </w:r>
      <w:r>
        <w:rPr>
          <w:rFonts w:cs="Arial"/>
        </w:rPr>
        <w:t xml:space="preserve"> I</w:t>
      </w:r>
      <w:r w:rsidR="00EF39DD">
        <w:rPr>
          <w:rFonts w:cs="Arial"/>
        </w:rPr>
        <w:t>mmediately prior to the May 14, 2013 General Election,</w:t>
      </w:r>
      <w:r>
        <w:rPr>
          <w:rFonts w:cs="Arial"/>
        </w:rPr>
        <w:t xml:space="preserve"> BC’s then Minister of Transportation called for an 18 month study on funding and other challenges</w:t>
      </w:r>
      <w:r w:rsidR="00FD37DB">
        <w:rPr>
          <w:rFonts w:cs="Arial"/>
        </w:rPr>
        <w:t xml:space="preserve"> including a forced referendum in Metro </w:t>
      </w:r>
      <w:r w:rsidR="00567784">
        <w:rPr>
          <w:rFonts w:cs="Arial"/>
        </w:rPr>
        <w:t>Vancouver</w:t>
      </w:r>
      <w:r w:rsidR="00FD37DB">
        <w:rPr>
          <w:rFonts w:cs="Arial"/>
        </w:rPr>
        <w:t xml:space="preserve"> during the November 2014 civic elections</w:t>
      </w:r>
      <w:r>
        <w:rPr>
          <w:rFonts w:cs="Arial"/>
        </w:rPr>
        <w:t>; the then Opposition Leader simply noted that what was needed was “more local democracy’.</w:t>
      </w:r>
      <w:r w:rsidR="003275FF">
        <w:rPr>
          <w:rFonts w:cs="Arial"/>
        </w:rPr>
        <w:t xml:space="preserve"> </w:t>
      </w:r>
      <w:r>
        <w:rPr>
          <w:rFonts w:cs="Arial"/>
        </w:rPr>
        <w:t>Gordon Campbell’s new Translink was not a complete failure but it left the region (and the province) with more unresolved issues</w:t>
      </w:r>
      <w:r w:rsidR="00FD37DB">
        <w:rPr>
          <w:rFonts w:cs="Arial"/>
        </w:rPr>
        <w:t xml:space="preserve"> than answers – something far removed from what the Premier </w:t>
      </w:r>
      <w:r w:rsidR="00EF39DD">
        <w:rPr>
          <w:rFonts w:cs="Arial"/>
        </w:rPr>
        <w:t xml:space="preserve">indicated were his </w:t>
      </w:r>
      <w:r w:rsidR="00FD37DB">
        <w:rPr>
          <w:rFonts w:cs="Arial"/>
        </w:rPr>
        <w:t>inten</w:t>
      </w:r>
      <w:r w:rsidR="00EF39DD">
        <w:rPr>
          <w:rFonts w:cs="Arial"/>
        </w:rPr>
        <w:t>tions</w:t>
      </w:r>
      <w:r w:rsidR="00FD37DB">
        <w:rPr>
          <w:rFonts w:cs="Arial"/>
        </w:rPr>
        <w:t>.</w:t>
      </w:r>
    </w:p>
    <w:p w:rsidR="0005308B" w:rsidRDefault="00FD37DB" w:rsidP="00016E6B">
      <w:pPr>
        <w:spacing w:line="480" w:lineRule="auto"/>
        <w:jc w:val="both"/>
        <w:rPr>
          <w:rFonts w:cs="Arial"/>
        </w:rPr>
      </w:pPr>
      <w:r>
        <w:rPr>
          <w:rFonts w:cs="Arial"/>
        </w:rPr>
        <w:tab/>
        <w:t xml:space="preserve">In 2008 and 2009, </w:t>
      </w:r>
      <w:r w:rsidR="0005308B">
        <w:rPr>
          <w:rFonts w:cs="Arial"/>
        </w:rPr>
        <w:t>the local governing agenda in BC was</w:t>
      </w:r>
      <w:r w:rsidR="004474D8">
        <w:rPr>
          <w:rFonts w:cs="Arial"/>
        </w:rPr>
        <w:t xml:space="preserve"> also</w:t>
      </w:r>
      <w:r w:rsidR="0005308B">
        <w:rPr>
          <w:rFonts w:cs="Arial"/>
        </w:rPr>
        <w:t xml:space="preserve"> mostly housekeeping:</w:t>
      </w:r>
      <w:r w:rsidR="004474D8">
        <w:rPr>
          <w:rFonts w:cs="Arial"/>
        </w:rPr>
        <w:t xml:space="preserve"> a</w:t>
      </w:r>
      <w:r w:rsidR="00C944DC">
        <w:rPr>
          <w:rFonts w:cs="Arial"/>
        </w:rPr>
        <w:t>n amendment to require financial agents for local elections “to improve the transparency of local elections finance”, to encourage local reductions in GHG’s, and miscellaneous amendments on housing, small business, public health and forest/range made up the 2008 legislative calendar;  in 2009, the local governing agenda was even lighter: one bill – allowing additional anti-graffiti and regulation of IOC-related signage powers to Vancouver, Richmond and Whistler was the only “major” local government amendments to legislation. There were also 13 “minor amendments’</w:t>
      </w:r>
      <w:r w:rsidR="00571D1A">
        <w:rPr>
          <w:rFonts w:cs="Arial"/>
        </w:rPr>
        <w:t xml:space="preserve"> (2 before the May, 2009 election and the rest after)</w:t>
      </w:r>
      <w:r w:rsidR="00C944DC">
        <w:rPr>
          <w:rFonts w:cs="Arial"/>
        </w:rPr>
        <w:t xml:space="preserve"> – on items like </w:t>
      </w:r>
      <w:r w:rsidR="00571D1A">
        <w:rPr>
          <w:rFonts w:cs="Arial"/>
        </w:rPr>
        <w:t>a</w:t>
      </w:r>
      <w:r w:rsidR="00C944DC">
        <w:rPr>
          <w:rFonts w:cs="Arial"/>
        </w:rPr>
        <w:t xml:space="preserve">ssistance to </w:t>
      </w:r>
      <w:r w:rsidR="00571D1A">
        <w:rPr>
          <w:rFonts w:cs="Arial"/>
        </w:rPr>
        <w:t>s</w:t>
      </w:r>
      <w:r w:rsidR="00C944DC">
        <w:rPr>
          <w:rFonts w:cs="Arial"/>
        </w:rPr>
        <w:t xml:space="preserve">helter, police discipline, wills/estates, public safety and worker’s compensation. </w:t>
      </w:r>
    </w:p>
    <w:p w:rsidR="0068340C" w:rsidRDefault="009917FE" w:rsidP="00016E6B">
      <w:pPr>
        <w:spacing w:line="480" w:lineRule="auto"/>
        <w:jc w:val="both"/>
        <w:rPr>
          <w:rFonts w:cs="Arial"/>
        </w:rPr>
      </w:pPr>
      <w:r>
        <w:rPr>
          <w:rFonts w:cs="Arial"/>
        </w:rPr>
        <w:tab/>
        <w:t>T</w:t>
      </w:r>
      <w:r w:rsidR="004474D8">
        <w:rPr>
          <w:rFonts w:cs="Arial"/>
        </w:rPr>
        <w:t>hree</w:t>
      </w:r>
      <w:r>
        <w:rPr>
          <w:rFonts w:cs="Arial"/>
        </w:rPr>
        <w:t xml:space="preserve"> things stand out</w:t>
      </w:r>
      <w:r w:rsidR="00571D1A">
        <w:rPr>
          <w:rFonts w:cs="Arial"/>
        </w:rPr>
        <w:t xml:space="preserve"> in this second Campbell term</w:t>
      </w:r>
      <w:r>
        <w:rPr>
          <w:rFonts w:cs="Arial"/>
        </w:rPr>
        <w:t>: (a) t</w:t>
      </w:r>
      <w:r w:rsidR="0005308B">
        <w:rPr>
          <w:rFonts w:cs="Arial"/>
        </w:rPr>
        <w:t>he exception</w:t>
      </w:r>
      <w:r>
        <w:rPr>
          <w:rFonts w:cs="Arial"/>
        </w:rPr>
        <w:t xml:space="preserve"> to minor tinkering</w:t>
      </w:r>
      <w:r w:rsidR="0005308B">
        <w:rPr>
          <w:rFonts w:cs="Arial"/>
        </w:rPr>
        <w:t xml:space="preserve"> was Olympic-related: provincial insistence on its routing for the West Vancouver end of the Olympic Sea To Sky highway. Despite strenuous, even judicial, </w:t>
      </w:r>
      <w:r w:rsidR="0005308B">
        <w:rPr>
          <w:rFonts w:cs="Arial"/>
        </w:rPr>
        <w:lastRenderedPageBreak/>
        <w:t>objections by the municipality, the Minister of Transportation insisted the province’s more environmentally invasive</w:t>
      </w:r>
      <w:r w:rsidR="004474D8">
        <w:rPr>
          <w:rFonts w:cs="Arial"/>
        </w:rPr>
        <w:t>, but cheaper,</w:t>
      </w:r>
      <w:r w:rsidR="0005308B">
        <w:rPr>
          <w:rFonts w:cs="Arial"/>
        </w:rPr>
        <w:t xml:space="preserve"> plan prevail. It did – at a cost of</w:t>
      </w:r>
      <w:r w:rsidR="00EF5A7E">
        <w:rPr>
          <w:rFonts w:cs="Arial"/>
        </w:rPr>
        <w:t xml:space="preserve"> $1billion – plus an estimated $2.5billion in P3 maintenance costs over the 25 year life of the contract.</w:t>
      </w:r>
      <w:r w:rsidR="0005308B">
        <w:rPr>
          <w:rFonts w:cs="Arial"/>
        </w:rPr>
        <w:t xml:space="preserve"> </w:t>
      </w:r>
      <w:r w:rsidR="004474D8">
        <w:rPr>
          <w:rFonts w:cs="Arial"/>
        </w:rPr>
        <w:t>(b) taking some of the local control over transportation governance out of the hands of ‘locals’ and replacing day-to-day decisions with a corporate board.</w:t>
      </w:r>
    </w:p>
    <w:p w:rsidR="004D39B5" w:rsidRDefault="004D39B5" w:rsidP="00016E6B">
      <w:pPr>
        <w:spacing w:line="480" w:lineRule="auto"/>
        <w:jc w:val="both"/>
        <w:rPr>
          <w:rFonts w:cs="Arial"/>
        </w:rPr>
      </w:pPr>
      <w:r>
        <w:rPr>
          <w:rFonts w:cs="Arial"/>
        </w:rPr>
        <w:tab/>
        <w:t>So the second Gordon Campbell term ended with a different</w:t>
      </w:r>
      <w:r w:rsidR="004474D8">
        <w:rPr>
          <w:rFonts w:cs="Arial"/>
        </w:rPr>
        <w:t xml:space="preserve">, </w:t>
      </w:r>
      <w:r>
        <w:rPr>
          <w:rFonts w:cs="Arial"/>
        </w:rPr>
        <w:t xml:space="preserve">narrower focus than indicated in his initial NED </w:t>
      </w:r>
      <w:r w:rsidR="004474D8">
        <w:rPr>
          <w:rFonts w:cs="Arial"/>
        </w:rPr>
        <w:t xml:space="preserve">reform </w:t>
      </w:r>
      <w:r>
        <w:rPr>
          <w:rFonts w:cs="Arial"/>
        </w:rPr>
        <w:t xml:space="preserve">agenda and the Community Charter. </w:t>
      </w:r>
    </w:p>
    <w:p w:rsidR="004D39B5" w:rsidRDefault="004D39B5" w:rsidP="00016E6B">
      <w:pPr>
        <w:pStyle w:val="Heading1"/>
        <w:spacing w:before="0"/>
        <w:jc w:val="both"/>
        <w:rPr>
          <w:rFonts w:ascii="Arial" w:hAnsi="Arial" w:cs="Arial"/>
          <w:sz w:val="24"/>
          <w:szCs w:val="24"/>
        </w:rPr>
      </w:pPr>
      <w:r>
        <w:rPr>
          <w:rFonts w:ascii="Arial" w:hAnsi="Arial" w:cs="Arial"/>
          <w:sz w:val="24"/>
          <w:szCs w:val="24"/>
        </w:rPr>
        <w:t>I</w:t>
      </w:r>
      <w:r w:rsidRPr="00A0677E">
        <w:rPr>
          <w:rFonts w:ascii="Arial" w:hAnsi="Arial" w:cs="Arial"/>
          <w:sz w:val="24"/>
          <w:szCs w:val="24"/>
        </w:rPr>
        <w:t>I</w:t>
      </w:r>
      <w:r>
        <w:rPr>
          <w:rFonts w:ascii="Arial" w:hAnsi="Arial" w:cs="Arial"/>
          <w:sz w:val="24"/>
          <w:szCs w:val="24"/>
        </w:rPr>
        <w:t>I</w:t>
      </w:r>
      <w:r w:rsidRPr="00A0677E">
        <w:rPr>
          <w:rFonts w:ascii="Arial" w:hAnsi="Arial" w:cs="Arial"/>
          <w:sz w:val="24"/>
          <w:szCs w:val="24"/>
        </w:rPr>
        <w:t>: Gordon Campbell’s</w:t>
      </w:r>
      <w:r>
        <w:rPr>
          <w:rFonts w:ascii="Arial" w:hAnsi="Arial" w:cs="Arial"/>
          <w:sz w:val="24"/>
          <w:szCs w:val="24"/>
        </w:rPr>
        <w:t xml:space="preserve"> Third (Half-) Term: </w:t>
      </w:r>
    </w:p>
    <w:p w:rsidR="004D39B5" w:rsidRDefault="004D39B5" w:rsidP="00016E6B">
      <w:pPr>
        <w:pStyle w:val="Heading1"/>
        <w:spacing w:before="0"/>
        <w:jc w:val="both"/>
        <w:rPr>
          <w:rFonts w:ascii="Arial" w:hAnsi="Arial" w:cs="Arial"/>
          <w:szCs w:val="24"/>
        </w:rPr>
      </w:pPr>
      <w:r>
        <w:rPr>
          <w:rFonts w:ascii="Arial" w:hAnsi="Arial" w:cs="Arial"/>
          <w:sz w:val="24"/>
          <w:szCs w:val="24"/>
        </w:rPr>
        <w:t>Olympic Legacies and Talk of a Fourth Term</w:t>
      </w:r>
      <w:r w:rsidRPr="00A0677E">
        <w:rPr>
          <w:rFonts w:ascii="Arial" w:hAnsi="Arial" w:cs="Arial"/>
          <w:szCs w:val="24"/>
        </w:rPr>
        <w:t>,</w:t>
      </w:r>
      <w:r w:rsidRPr="00A0677E">
        <w:rPr>
          <w:rFonts w:ascii="Arial" w:hAnsi="Arial" w:cs="Arial"/>
          <w:sz w:val="24"/>
          <w:szCs w:val="24"/>
        </w:rPr>
        <w:t xml:space="preserve"> 200</w:t>
      </w:r>
      <w:r>
        <w:rPr>
          <w:rFonts w:ascii="Arial" w:hAnsi="Arial" w:cs="Arial"/>
          <w:sz w:val="24"/>
          <w:szCs w:val="24"/>
        </w:rPr>
        <w:t>9</w:t>
      </w:r>
      <w:r w:rsidRPr="00A0677E">
        <w:rPr>
          <w:rFonts w:ascii="Arial" w:hAnsi="Arial" w:cs="Arial"/>
          <w:szCs w:val="24"/>
        </w:rPr>
        <w:t>–</w:t>
      </w:r>
      <w:r w:rsidR="00D00AF0" w:rsidRPr="00D00AF0">
        <w:rPr>
          <w:rFonts w:ascii="Arial" w:hAnsi="Arial" w:cs="Arial"/>
          <w:sz w:val="24"/>
          <w:szCs w:val="24"/>
        </w:rPr>
        <w:t>2011</w:t>
      </w:r>
    </w:p>
    <w:p w:rsidR="004474D8" w:rsidRPr="004474D8" w:rsidRDefault="00D00AF0" w:rsidP="00016E6B">
      <w:pPr>
        <w:spacing w:line="480" w:lineRule="auto"/>
        <w:jc w:val="both"/>
        <w:rPr>
          <w:sz w:val="16"/>
          <w:szCs w:val="16"/>
        </w:rPr>
      </w:pPr>
      <w:r>
        <w:tab/>
      </w:r>
    </w:p>
    <w:p w:rsidR="0068340C" w:rsidRDefault="00D00AF0" w:rsidP="004474D8">
      <w:pPr>
        <w:spacing w:line="480" w:lineRule="auto"/>
        <w:ind w:firstLine="720"/>
        <w:jc w:val="both"/>
      </w:pPr>
      <w:r>
        <w:t>Local democratic reform did return to the Campbell agenda, in his third term, albeit briefly</w:t>
      </w:r>
      <w:r w:rsidR="004474D8">
        <w:t xml:space="preserve">. </w:t>
      </w:r>
      <w:r w:rsidR="004474D8">
        <w:rPr>
          <w:rFonts w:cs="Arial"/>
        </w:rPr>
        <w:t>BC has the least regulated (‘wild west’) local election finance regulation in Canada. Anyone can contribute any amount and no voter would hear of such until 6 months after an election; and there is no local lobbying registration despite significant sums of money floating through BC’s local elections.</w:t>
      </w:r>
      <w:r w:rsidR="004474D8">
        <w:rPr>
          <w:rStyle w:val="FootnoteReference"/>
          <w:rFonts w:cs="Arial"/>
        </w:rPr>
        <w:footnoteReference w:id="13"/>
      </w:r>
      <w:r w:rsidR="004474D8">
        <w:rPr>
          <w:rFonts w:cs="Arial"/>
        </w:rPr>
        <w:t xml:space="preserve"> </w:t>
      </w:r>
      <w:r w:rsidR="004474D8">
        <w:t xml:space="preserve">In a </w:t>
      </w:r>
      <w:r w:rsidR="004474D8">
        <w:rPr>
          <w:rFonts w:cs="Arial"/>
        </w:rPr>
        <w:t xml:space="preserve">minor genuflection at making local elections finance more transparent, </w:t>
      </w:r>
      <w:r w:rsidR="00A40CCB">
        <w:t xml:space="preserve">in 2010, the Premier appointed a Task Force on Local Elections. Rather than an “all-party’ legislative committee, </w:t>
      </w:r>
      <w:r w:rsidR="004474D8">
        <w:t>it</w:t>
      </w:r>
      <w:r w:rsidR="00A40CCB">
        <w:t xml:space="preserve"> was an odd reform duck – chaired by the Communities Minister, co-chaired by the head of the UBCM and with backbench government MLA’s and UBCM selected municipal councillors. Given the odd nature of its genetics, it was perhaps not surprising that it began by barking (I am pretty sure it was barking) up the wrong trees.</w:t>
      </w:r>
      <w:r w:rsidR="00F312AF">
        <w:rPr>
          <w:rStyle w:val="FootnoteReference"/>
        </w:rPr>
        <w:footnoteReference w:id="14"/>
      </w:r>
      <w:r w:rsidR="004474D8">
        <w:t xml:space="preserve"> Ultimately it produced no important local democracy reform.</w:t>
      </w:r>
    </w:p>
    <w:p w:rsidR="00607B42" w:rsidRDefault="00607B42" w:rsidP="00016E6B">
      <w:pPr>
        <w:spacing w:line="480" w:lineRule="auto"/>
        <w:jc w:val="both"/>
        <w:rPr>
          <w:rFonts w:cs="Arial"/>
        </w:rPr>
      </w:pPr>
      <w:r>
        <w:lastRenderedPageBreak/>
        <w:tab/>
        <w:t>Other than that canine response, 2009-10 was All Olympics</w:t>
      </w:r>
      <w:r w:rsidR="004474D8">
        <w:t>,</w:t>
      </w:r>
      <w:r>
        <w:t xml:space="preserve"> All the Time.  The legacy for Gordon Campbell’s 3</w:t>
      </w:r>
      <w:r w:rsidRPr="00607B42">
        <w:rPr>
          <w:vertAlign w:val="superscript"/>
        </w:rPr>
        <w:t>rd</w:t>
      </w:r>
      <w:r>
        <w:t xml:space="preserve"> term is a picture in every BC home of the Premier in red Olympic Mitts. The post Olympic letdown was called ‘fiscal accounting’ and the Premier and his Minister of Finance found themselves saying “okay’ to a fed offer for $1.5b in transitional funding for BC to abandon its Provincial Sales Tax and join the H</w:t>
      </w:r>
      <w:r w:rsidR="004474D8">
        <w:t xml:space="preserve">armonized </w:t>
      </w:r>
      <w:r>
        <w:t>S</w:t>
      </w:r>
      <w:r w:rsidR="004474D8">
        <w:t xml:space="preserve">ales </w:t>
      </w:r>
      <w:r>
        <w:t>T</w:t>
      </w:r>
      <w:r w:rsidR="004474D8">
        <w:t>ax (HST)</w:t>
      </w:r>
      <w:r>
        <w:t>. Had THAT decision had a little more democratic background and civic engagement, Gordon Campbell might have got to serve a 4</w:t>
      </w:r>
      <w:r w:rsidRPr="00607B42">
        <w:rPr>
          <w:vertAlign w:val="superscript"/>
        </w:rPr>
        <w:t>th</w:t>
      </w:r>
      <w:r>
        <w:t xml:space="preserve"> term. Instead, the outcome was a late 2010 announcement he was ‘stepping down’,</w:t>
      </w:r>
      <w:r w:rsidR="004474D8">
        <w:t xml:space="preserve">due to negative political reactions; he was </w:t>
      </w:r>
      <w:r>
        <w:t>replaced in March 2011</w:t>
      </w:r>
      <w:r w:rsidR="004474D8">
        <w:t xml:space="preserve"> by former colleague Christy Clark. Her main local governing initiative was creation of an Auditor </w:t>
      </w:r>
      <w:r w:rsidR="00813077">
        <w:t>G</w:t>
      </w:r>
      <w:r w:rsidR="004474D8">
        <w:t>eneral for Local Government</w:t>
      </w:r>
      <w:r w:rsidR="00813077">
        <w:t>, not something sought by BC’s municipalities but lobbied for by its Chambers of Commerce.</w:t>
      </w:r>
    </w:p>
    <w:p w:rsidR="00C15480" w:rsidRPr="00C15480" w:rsidRDefault="00400070" w:rsidP="00016E6B">
      <w:pPr>
        <w:jc w:val="both"/>
        <w:rPr>
          <w:rFonts w:cs="Arial"/>
          <w:b/>
          <w:i/>
        </w:rPr>
      </w:pPr>
      <w:r w:rsidRPr="00C15480">
        <w:rPr>
          <w:rFonts w:cs="Arial"/>
          <w:b/>
          <w:i/>
        </w:rPr>
        <w:t>Comparative Conclusions:</w:t>
      </w:r>
    </w:p>
    <w:p w:rsidR="00C15480" w:rsidRDefault="00400070" w:rsidP="00016E6B">
      <w:pPr>
        <w:jc w:val="both"/>
        <w:rPr>
          <w:rFonts w:cs="Arial"/>
          <w:b/>
          <w:i/>
        </w:rPr>
      </w:pPr>
      <w:r w:rsidRPr="00C15480">
        <w:rPr>
          <w:rFonts w:cs="Arial"/>
          <w:b/>
          <w:i/>
        </w:rPr>
        <w:t xml:space="preserve"> The NDP Decade: 1991-2001 – The Gordon Campbell Liberal </w:t>
      </w:r>
      <w:r w:rsidR="00C15480">
        <w:rPr>
          <w:rFonts w:cs="Arial"/>
          <w:b/>
          <w:i/>
        </w:rPr>
        <w:t>D</w:t>
      </w:r>
      <w:r w:rsidRPr="00C15480">
        <w:rPr>
          <w:rFonts w:cs="Arial"/>
          <w:b/>
          <w:i/>
        </w:rPr>
        <w:t>ecade, 2001-2011</w:t>
      </w:r>
    </w:p>
    <w:p w:rsidR="00813077" w:rsidRPr="00813077" w:rsidRDefault="00813077" w:rsidP="00016E6B">
      <w:pPr>
        <w:spacing w:line="480" w:lineRule="auto"/>
        <w:ind w:firstLine="720"/>
        <w:jc w:val="both"/>
        <w:rPr>
          <w:rFonts w:cs="Arial"/>
          <w:sz w:val="16"/>
          <w:szCs w:val="16"/>
        </w:rPr>
      </w:pPr>
    </w:p>
    <w:p w:rsidR="001948C1" w:rsidRPr="00A0677E" w:rsidRDefault="001948C1" w:rsidP="00016E6B">
      <w:pPr>
        <w:spacing w:line="480" w:lineRule="auto"/>
        <w:ind w:firstLine="720"/>
        <w:jc w:val="both"/>
        <w:rPr>
          <w:rFonts w:cs="Arial"/>
        </w:rPr>
      </w:pPr>
      <w:r w:rsidRPr="00A0677E">
        <w:rPr>
          <w:rFonts w:cs="Arial"/>
        </w:rPr>
        <w:t xml:space="preserve">It is </w:t>
      </w:r>
      <w:r w:rsidR="00130BEC">
        <w:rPr>
          <w:rFonts w:cs="Arial"/>
        </w:rPr>
        <w:t xml:space="preserve">somewhat </w:t>
      </w:r>
      <w:r w:rsidRPr="00A0677E">
        <w:rPr>
          <w:rFonts w:cs="Arial"/>
        </w:rPr>
        <w:t xml:space="preserve">astounding to think that although a </w:t>
      </w:r>
      <w:r w:rsidR="00400070">
        <w:rPr>
          <w:rFonts w:cs="Arial"/>
        </w:rPr>
        <w:t>significant</w:t>
      </w:r>
      <w:r w:rsidRPr="00A0677E">
        <w:rPr>
          <w:rFonts w:cs="Arial"/>
        </w:rPr>
        <w:t xml:space="preserve"> amount of legislation has been </w:t>
      </w:r>
      <w:r w:rsidR="00400070">
        <w:rPr>
          <w:rFonts w:cs="Arial"/>
        </w:rPr>
        <w:t xml:space="preserve">posed, </w:t>
      </w:r>
      <w:r w:rsidRPr="00A0677E">
        <w:rPr>
          <w:rFonts w:cs="Arial"/>
        </w:rPr>
        <w:t xml:space="preserve">formulated, consulted on, debated, passed, and implemented over the last </w:t>
      </w:r>
      <w:r w:rsidR="00400070">
        <w:rPr>
          <w:rFonts w:cs="Arial"/>
        </w:rPr>
        <w:t>two decades</w:t>
      </w:r>
      <w:r w:rsidR="00AB216A">
        <w:rPr>
          <w:rFonts w:cs="Arial"/>
        </w:rPr>
        <w:t>,</w:t>
      </w:r>
      <w:r w:rsidR="00400070">
        <w:rPr>
          <w:rFonts w:cs="Arial"/>
        </w:rPr>
        <w:t xml:space="preserve"> </w:t>
      </w:r>
      <w:r w:rsidRPr="00A0677E">
        <w:rPr>
          <w:rFonts w:cs="Arial"/>
        </w:rPr>
        <w:t xml:space="preserve">BC local governments of today closely resemble those of the early 1990s. Of the </w:t>
      </w:r>
      <w:r w:rsidR="00AB216A">
        <w:rPr>
          <w:rFonts w:cs="Arial"/>
        </w:rPr>
        <w:t xml:space="preserve">100-odd </w:t>
      </w:r>
      <w:r w:rsidRPr="00A0677E">
        <w:rPr>
          <w:rFonts w:cs="Arial"/>
        </w:rPr>
        <w:t>acts affecting local governments</w:t>
      </w:r>
      <w:r w:rsidR="00C55874">
        <w:rPr>
          <w:rFonts w:cs="Arial"/>
        </w:rPr>
        <w:t xml:space="preserve"> in major ways</w:t>
      </w:r>
      <w:r w:rsidRPr="00A0677E">
        <w:rPr>
          <w:rFonts w:cs="Arial"/>
        </w:rPr>
        <w:t xml:space="preserve"> passed </w:t>
      </w:r>
      <w:r w:rsidR="00AB216A">
        <w:rPr>
          <w:rFonts w:cs="Arial"/>
        </w:rPr>
        <w:t xml:space="preserve">in each of the NDP and Campbell decades </w:t>
      </w:r>
      <w:r w:rsidRPr="00A0677E">
        <w:rPr>
          <w:rFonts w:cs="Arial"/>
        </w:rPr>
        <w:t>since 199</w:t>
      </w:r>
      <w:r w:rsidR="00C55874">
        <w:rPr>
          <w:rFonts w:cs="Arial"/>
        </w:rPr>
        <w:t>1</w:t>
      </w:r>
      <w:r w:rsidRPr="00A0677E">
        <w:rPr>
          <w:rFonts w:cs="Arial"/>
        </w:rPr>
        <w:t xml:space="preserve">, few have </w:t>
      </w:r>
      <w:r w:rsidR="004B5435">
        <w:rPr>
          <w:rFonts w:cs="Arial"/>
        </w:rPr>
        <w:t xml:space="preserve">impacted </w:t>
      </w:r>
      <w:r w:rsidRPr="00A0677E">
        <w:rPr>
          <w:rFonts w:cs="Arial"/>
        </w:rPr>
        <w:t xml:space="preserve">the structure or function of local government in British Columbia. </w:t>
      </w:r>
      <w:r w:rsidR="004B5435">
        <w:rPr>
          <w:rFonts w:cs="Arial"/>
        </w:rPr>
        <w:t>S</w:t>
      </w:r>
      <w:r w:rsidRPr="00A0677E">
        <w:rPr>
          <w:rFonts w:cs="Arial"/>
        </w:rPr>
        <w:t xml:space="preserve">uccessive BC governments </w:t>
      </w:r>
      <w:r w:rsidR="004B5435">
        <w:rPr>
          <w:rFonts w:cs="Arial"/>
        </w:rPr>
        <w:t>have seemed a little too</w:t>
      </w:r>
      <w:r w:rsidRPr="00A0677E">
        <w:rPr>
          <w:rFonts w:cs="Arial"/>
        </w:rPr>
        <w:t xml:space="preserve"> satisfied with the basic components of the </w:t>
      </w:r>
      <w:r w:rsidRPr="00A0677E">
        <w:rPr>
          <w:rFonts w:cs="Arial"/>
        </w:rPr>
        <w:lastRenderedPageBreak/>
        <w:t xml:space="preserve">municipal system and content to make financial and jurisdictional alterations rather than engage in </w:t>
      </w:r>
      <w:r w:rsidR="004B5435">
        <w:rPr>
          <w:rFonts w:cs="Arial"/>
        </w:rPr>
        <w:t>more fundamental</w:t>
      </w:r>
      <w:r w:rsidRPr="00A0677E">
        <w:rPr>
          <w:rFonts w:cs="Arial"/>
        </w:rPr>
        <w:t xml:space="preserve"> structural</w:t>
      </w:r>
      <w:r w:rsidR="004B5435">
        <w:rPr>
          <w:rFonts w:cs="Arial"/>
        </w:rPr>
        <w:t xml:space="preserve">, </w:t>
      </w:r>
      <w:r w:rsidRPr="00A0677E">
        <w:rPr>
          <w:rFonts w:cs="Arial"/>
        </w:rPr>
        <w:t>functional</w:t>
      </w:r>
      <w:r w:rsidR="004B5435">
        <w:rPr>
          <w:rFonts w:cs="Arial"/>
        </w:rPr>
        <w:t xml:space="preserve"> or democratic</w:t>
      </w:r>
      <w:r w:rsidRPr="00A0677E">
        <w:rPr>
          <w:rFonts w:cs="Arial"/>
        </w:rPr>
        <w:t xml:space="preserve"> reforms. </w:t>
      </w:r>
    </w:p>
    <w:p w:rsidR="001948C1" w:rsidRPr="00A0677E" w:rsidRDefault="001948C1" w:rsidP="00016E6B">
      <w:pPr>
        <w:pStyle w:val="Caption"/>
        <w:spacing w:line="480" w:lineRule="auto"/>
        <w:rPr>
          <w:rFonts w:ascii="Arial" w:hAnsi="Arial" w:cs="Arial"/>
          <w:bCs/>
        </w:rPr>
      </w:pPr>
      <w:r w:rsidRPr="00A0677E">
        <w:rPr>
          <w:rFonts w:ascii="Arial" w:hAnsi="Arial" w:cs="Arial"/>
          <w:bCs/>
        </w:rPr>
        <w:t xml:space="preserve">Table </w:t>
      </w:r>
      <w:r w:rsidR="00567784" w:rsidRPr="00A0677E">
        <w:rPr>
          <w:rFonts w:ascii="Arial" w:hAnsi="Arial" w:cs="Arial"/>
          <w:bCs/>
        </w:rPr>
        <w:t>2.2 Overview</w:t>
      </w:r>
      <w:r w:rsidRPr="00A0677E">
        <w:rPr>
          <w:rFonts w:ascii="Arial" w:hAnsi="Arial" w:cs="Arial"/>
          <w:bCs/>
        </w:rPr>
        <w:t xml:space="preserve"> of Significant Local Legislative Reform Efforts, 1991–20</w:t>
      </w:r>
      <w:r w:rsidR="00400070">
        <w:rPr>
          <w:rFonts w:ascii="Arial" w:hAnsi="Arial" w:cs="Arial"/>
          <w:bCs/>
        </w:rPr>
        <w:t>11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9"/>
        <w:gridCol w:w="5040"/>
        <w:gridCol w:w="383"/>
        <w:gridCol w:w="383"/>
        <w:gridCol w:w="394"/>
        <w:gridCol w:w="383"/>
        <w:gridCol w:w="383"/>
        <w:gridCol w:w="383"/>
      </w:tblGrid>
      <w:tr w:rsidR="001948C1" w:rsidRPr="00A0677E" w:rsidTr="00281652">
        <w:trPr>
          <w:jc w:val="center"/>
        </w:trPr>
        <w:tc>
          <w:tcPr>
            <w:tcW w:w="1039"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b/>
                <w:sz w:val="20"/>
              </w:rPr>
            </w:pPr>
            <w:r w:rsidRPr="00A0677E">
              <w:rPr>
                <w:rFonts w:ascii="Arial" w:hAnsi="Arial" w:cs="Arial"/>
                <w:b/>
                <w:sz w:val="20"/>
              </w:rPr>
              <w:t>Regime</w:t>
            </w:r>
          </w:p>
        </w:tc>
        <w:tc>
          <w:tcPr>
            <w:tcW w:w="504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b/>
                <w:sz w:val="20"/>
              </w:rPr>
            </w:pPr>
            <w:r w:rsidRPr="00A0677E">
              <w:rPr>
                <w:rFonts w:ascii="Arial" w:hAnsi="Arial" w:cs="Arial"/>
                <w:b/>
                <w:sz w:val="20"/>
              </w:rPr>
              <w:t>Legislation</w:t>
            </w:r>
          </w:p>
        </w:tc>
        <w:tc>
          <w:tcPr>
            <w:tcW w:w="383"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b/>
                <w:sz w:val="20"/>
              </w:rPr>
            </w:pPr>
            <w:r w:rsidRPr="00A0677E">
              <w:rPr>
                <w:rFonts w:ascii="Arial" w:hAnsi="Arial" w:cs="Arial"/>
                <w:b/>
                <w:sz w:val="20"/>
              </w:rPr>
              <w:t>S</w:t>
            </w:r>
          </w:p>
        </w:tc>
        <w:tc>
          <w:tcPr>
            <w:tcW w:w="383"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b/>
                <w:sz w:val="20"/>
              </w:rPr>
            </w:pPr>
            <w:r w:rsidRPr="00A0677E">
              <w:rPr>
                <w:rFonts w:ascii="Arial" w:hAnsi="Arial" w:cs="Arial"/>
                <w:b/>
                <w:sz w:val="20"/>
              </w:rPr>
              <w:t>F</w:t>
            </w:r>
          </w:p>
        </w:tc>
        <w:tc>
          <w:tcPr>
            <w:tcW w:w="394"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b/>
                <w:sz w:val="20"/>
              </w:rPr>
            </w:pPr>
            <w:r w:rsidRPr="00A0677E">
              <w:rPr>
                <w:rFonts w:ascii="Arial" w:hAnsi="Arial" w:cs="Arial"/>
                <w:b/>
                <w:sz w:val="20"/>
              </w:rPr>
              <w:t>Fi</w:t>
            </w:r>
          </w:p>
        </w:tc>
        <w:tc>
          <w:tcPr>
            <w:tcW w:w="383"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b/>
                <w:sz w:val="20"/>
              </w:rPr>
            </w:pPr>
            <w:r w:rsidRPr="00A0677E">
              <w:rPr>
                <w:rFonts w:ascii="Arial" w:hAnsi="Arial" w:cs="Arial"/>
                <w:b/>
                <w:sz w:val="20"/>
              </w:rPr>
              <w:t>J</w:t>
            </w:r>
          </w:p>
        </w:tc>
        <w:tc>
          <w:tcPr>
            <w:tcW w:w="383"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b/>
                <w:sz w:val="20"/>
              </w:rPr>
            </w:pPr>
            <w:r w:rsidRPr="00A0677E">
              <w:rPr>
                <w:rFonts w:ascii="Arial" w:hAnsi="Arial" w:cs="Arial"/>
                <w:b/>
                <w:sz w:val="20"/>
              </w:rPr>
              <w:t>E</w:t>
            </w:r>
          </w:p>
        </w:tc>
        <w:tc>
          <w:tcPr>
            <w:tcW w:w="383"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b/>
                <w:sz w:val="20"/>
              </w:rPr>
            </w:pPr>
            <w:r w:rsidRPr="00A0677E">
              <w:rPr>
                <w:rFonts w:ascii="Arial" w:hAnsi="Arial" w:cs="Arial"/>
                <w:b/>
                <w:sz w:val="20"/>
              </w:rPr>
              <w:t>A</w:t>
            </w:r>
          </w:p>
        </w:tc>
      </w:tr>
      <w:tr w:rsidR="001948C1" w:rsidRPr="00A0677E" w:rsidTr="00281652">
        <w:trPr>
          <w:cantSplit/>
          <w:jc w:val="center"/>
        </w:trPr>
        <w:tc>
          <w:tcPr>
            <w:tcW w:w="1039" w:type="dxa"/>
            <w:vMerge w:val="restart"/>
            <w:tcBorders>
              <w:top w:val="single" w:sz="6" w:space="0" w:color="auto"/>
              <w:left w:val="single" w:sz="6" w:space="0" w:color="auto"/>
              <w:right w:val="single" w:sz="6" w:space="0" w:color="auto"/>
            </w:tcBorders>
            <w:vAlign w:val="center"/>
          </w:tcPr>
          <w:p w:rsidR="001948C1" w:rsidRPr="00A0677E" w:rsidRDefault="001948C1" w:rsidP="00016E6B">
            <w:pPr>
              <w:pStyle w:val="BodyTextIndent2"/>
              <w:keepNext/>
              <w:keepLines/>
              <w:spacing w:line="480" w:lineRule="auto"/>
              <w:ind w:firstLine="0"/>
              <w:rPr>
                <w:rFonts w:ascii="Arial" w:hAnsi="Arial" w:cs="Arial"/>
                <w:sz w:val="20"/>
              </w:rPr>
            </w:pPr>
            <w:r w:rsidRPr="00A0677E">
              <w:rPr>
                <w:rFonts w:ascii="Arial" w:hAnsi="Arial" w:cs="Arial"/>
                <w:sz w:val="20"/>
              </w:rPr>
              <w:t>Harcourt</w:t>
            </w:r>
          </w:p>
        </w:tc>
        <w:tc>
          <w:tcPr>
            <w:tcW w:w="5040" w:type="dxa"/>
            <w:tcBorders>
              <w:top w:val="single" w:sz="6" w:space="0" w:color="auto"/>
              <w:left w:val="single" w:sz="6" w:space="0" w:color="auto"/>
              <w:bottom w:val="single" w:sz="6" w:space="0" w:color="auto"/>
              <w:right w:val="single" w:sz="6" w:space="0" w:color="auto"/>
            </w:tcBorders>
          </w:tcPr>
          <w:p w:rsidR="001948C1" w:rsidRPr="00400070" w:rsidRDefault="001948C1" w:rsidP="00016E6B">
            <w:pPr>
              <w:pStyle w:val="Heading5"/>
              <w:spacing w:line="480" w:lineRule="auto"/>
              <w:jc w:val="both"/>
              <w:rPr>
                <w:rFonts w:ascii="Arial" w:hAnsi="Arial" w:cs="Arial"/>
                <w:sz w:val="20"/>
                <w:szCs w:val="20"/>
              </w:rPr>
            </w:pPr>
            <w:r w:rsidRPr="00400070">
              <w:rPr>
                <w:rFonts w:ascii="Arial" w:hAnsi="Arial" w:cs="Arial"/>
                <w:sz w:val="20"/>
                <w:szCs w:val="20"/>
              </w:rPr>
              <w:t>Local Elections Reform Act, 1993</w:t>
            </w:r>
          </w:p>
        </w:tc>
        <w:tc>
          <w:tcPr>
            <w:tcW w:w="383"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sz w:val="20"/>
              </w:rPr>
            </w:pPr>
            <w:r w:rsidRPr="00A0677E">
              <w:rPr>
                <w:rFonts w:ascii="Arial" w:hAnsi="Arial" w:cs="Arial"/>
                <w:sz w:val="20"/>
              </w:rPr>
              <w:t>N</w:t>
            </w:r>
          </w:p>
        </w:tc>
        <w:tc>
          <w:tcPr>
            <w:tcW w:w="383"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sz w:val="20"/>
              </w:rPr>
            </w:pPr>
            <w:r w:rsidRPr="00A0677E">
              <w:rPr>
                <w:rFonts w:ascii="Arial" w:hAnsi="Arial" w:cs="Arial"/>
                <w:sz w:val="20"/>
              </w:rPr>
              <w:t>N</w:t>
            </w:r>
          </w:p>
        </w:tc>
        <w:tc>
          <w:tcPr>
            <w:tcW w:w="394"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sz w:val="20"/>
              </w:rPr>
            </w:pPr>
            <w:r w:rsidRPr="00A0677E">
              <w:rPr>
                <w:rFonts w:ascii="Arial" w:hAnsi="Arial" w:cs="Arial"/>
                <w:sz w:val="20"/>
              </w:rPr>
              <w:t>N</w:t>
            </w:r>
          </w:p>
        </w:tc>
        <w:tc>
          <w:tcPr>
            <w:tcW w:w="383"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sz w:val="20"/>
              </w:rPr>
            </w:pPr>
            <w:r w:rsidRPr="00A0677E">
              <w:rPr>
                <w:rFonts w:ascii="Arial" w:hAnsi="Arial" w:cs="Arial"/>
                <w:sz w:val="20"/>
              </w:rPr>
              <w:t>N</w:t>
            </w:r>
          </w:p>
        </w:tc>
        <w:tc>
          <w:tcPr>
            <w:tcW w:w="383"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sz w:val="20"/>
              </w:rPr>
            </w:pPr>
            <w:r w:rsidRPr="00A0677E">
              <w:rPr>
                <w:rFonts w:ascii="Arial" w:hAnsi="Arial" w:cs="Arial"/>
                <w:sz w:val="20"/>
              </w:rPr>
              <w:t>N</w:t>
            </w:r>
          </w:p>
        </w:tc>
        <w:tc>
          <w:tcPr>
            <w:tcW w:w="383"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sz w:val="20"/>
              </w:rPr>
            </w:pPr>
            <w:r w:rsidRPr="00A0677E">
              <w:rPr>
                <w:rFonts w:ascii="Arial" w:hAnsi="Arial" w:cs="Arial"/>
                <w:sz w:val="20"/>
              </w:rPr>
              <w:t>Y</w:t>
            </w:r>
          </w:p>
        </w:tc>
      </w:tr>
      <w:tr w:rsidR="001948C1" w:rsidRPr="00A0677E" w:rsidTr="00281652">
        <w:trPr>
          <w:cantSplit/>
          <w:jc w:val="center"/>
        </w:trPr>
        <w:tc>
          <w:tcPr>
            <w:tcW w:w="1039" w:type="dxa"/>
            <w:vMerge/>
            <w:tcBorders>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sz w:val="20"/>
              </w:rPr>
            </w:pPr>
          </w:p>
        </w:tc>
        <w:tc>
          <w:tcPr>
            <w:tcW w:w="504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keepNext/>
              <w:keepLines/>
              <w:spacing w:line="480" w:lineRule="auto"/>
              <w:jc w:val="both"/>
              <w:rPr>
                <w:rFonts w:cs="Arial"/>
                <w:sz w:val="20"/>
              </w:rPr>
            </w:pPr>
            <w:r w:rsidRPr="00A0677E">
              <w:rPr>
                <w:rFonts w:cs="Arial"/>
                <w:sz w:val="20"/>
              </w:rPr>
              <w:t xml:space="preserve">Growth Strategies Statutes Amendment Act, 1995 </w:t>
            </w:r>
          </w:p>
        </w:tc>
        <w:tc>
          <w:tcPr>
            <w:tcW w:w="383"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sz w:val="20"/>
              </w:rPr>
            </w:pPr>
            <w:r w:rsidRPr="00A0677E">
              <w:rPr>
                <w:rFonts w:ascii="Arial" w:hAnsi="Arial" w:cs="Arial"/>
                <w:sz w:val="20"/>
              </w:rPr>
              <w:t>N</w:t>
            </w:r>
          </w:p>
        </w:tc>
        <w:tc>
          <w:tcPr>
            <w:tcW w:w="383"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sz w:val="20"/>
              </w:rPr>
            </w:pPr>
            <w:r w:rsidRPr="00A0677E">
              <w:rPr>
                <w:rFonts w:ascii="Arial" w:hAnsi="Arial" w:cs="Arial"/>
                <w:sz w:val="20"/>
              </w:rPr>
              <w:t>N</w:t>
            </w:r>
          </w:p>
        </w:tc>
        <w:tc>
          <w:tcPr>
            <w:tcW w:w="394"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sz w:val="20"/>
              </w:rPr>
            </w:pPr>
            <w:r w:rsidRPr="00A0677E">
              <w:rPr>
                <w:rFonts w:ascii="Arial" w:hAnsi="Arial" w:cs="Arial"/>
                <w:sz w:val="20"/>
              </w:rPr>
              <w:t>N</w:t>
            </w:r>
          </w:p>
        </w:tc>
        <w:tc>
          <w:tcPr>
            <w:tcW w:w="383"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sz w:val="20"/>
              </w:rPr>
            </w:pPr>
            <w:r w:rsidRPr="00A0677E">
              <w:rPr>
                <w:rFonts w:ascii="Arial" w:hAnsi="Arial" w:cs="Arial"/>
                <w:sz w:val="20"/>
              </w:rPr>
              <w:t>N</w:t>
            </w:r>
          </w:p>
        </w:tc>
        <w:tc>
          <w:tcPr>
            <w:tcW w:w="383"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sz w:val="20"/>
              </w:rPr>
            </w:pPr>
            <w:r w:rsidRPr="00A0677E">
              <w:rPr>
                <w:rFonts w:ascii="Arial" w:hAnsi="Arial" w:cs="Arial"/>
                <w:sz w:val="20"/>
              </w:rPr>
              <w:t>Y</w:t>
            </w:r>
          </w:p>
        </w:tc>
        <w:tc>
          <w:tcPr>
            <w:tcW w:w="383"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sz w:val="20"/>
              </w:rPr>
            </w:pPr>
            <w:r w:rsidRPr="00A0677E">
              <w:rPr>
                <w:rFonts w:ascii="Arial" w:hAnsi="Arial" w:cs="Arial"/>
                <w:sz w:val="20"/>
              </w:rPr>
              <w:t>N</w:t>
            </w:r>
          </w:p>
        </w:tc>
      </w:tr>
      <w:tr w:rsidR="001948C1" w:rsidRPr="00A0677E" w:rsidTr="00281652">
        <w:trPr>
          <w:jc w:val="center"/>
        </w:trPr>
        <w:tc>
          <w:tcPr>
            <w:tcW w:w="1039" w:type="dxa"/>
            <w:tcBorders>
              <w:top w:val="single" w:sz="6" w:space="0" w:color="auto"/>
              <w:left w:val="single" w:sz="6" w:space="0" w:color="auto"/>
              <w:bottom w:val="nil"/>
              <w:right w:val="single" w:sz="6" w:space="0" w:color="auto"/>
            </w:tcBorders>
            <w:shd w:val="clear" w:color="auto" w:fill="000000"/>
          </w:tcPr>
          <w:p w:rsidR="001948C1" w:rsidRPr="00A0677E" w:rsidRDefault="001948C1" w:rsidP="00016E6B">
            <w:pPr>
              <w:pStyle w:val="BodyTextIndent2"/>
              <w:keepNext/>
              <w:keepLines/>
              <w:spacing w:line="480" w:lineRule="auto"/>
              <w:ind w:firstLine="0"/>
              <w:rPr>
                <w:rFonts w:ascii="Arial" w:hAnsi="Arial" w:cs="Arial"/>
                <w:sz w:val="20"/>
              </w:rPr>
            </w:pPr>
          </w:p>
        </w:tc>
        <w:tc>
          <w:tcPr>
            <w:tcW w:w="5040" w:type="dxa"/>
            <w:tcBorders>
              <w:top w:val="single" w:sz="6" w:space="0" w:color="auto"/>
              <w:left w:val="single" w:sz="6" w:space="0" w:color="auto"/>
              <w:bottom w:val="single" w:sz="6" w:space="0" w:color="auto"/>
              <w:right w:val="single" w:sz="6" w:space="0" w:color="auto"/>
            </w:tcBorders>
            <w:shd w:val="clear" w:color="auto" w:fill="000000"/>
          </w:tcPr>
          <w:p w:rsidR="001948C1" w:rsidRPr="00A0677E" w:rsidRDefault="001948C1" w:rsidP="00016E6B">
            <w:pPr>
              <w:keepNext/>
              <w:keepLines/>
              <w:spacing w:line="480" w:lineRule="auto"/>
              <w:jc w:val="both"/>
              <w:rPr>
                <w:rFonts w:cs="Arial"/>
                <w:i/>
                <w:sz w:val="20"/>
              </w:rPr>
            </w:pPr>
          </w:p>
        </w:tc>
        <w:tc>
          <w:tcPr>
            <w:tcW w:w="383" w:type="dxa"/>
            <w:tcBorders>
              <w:top w:val="single" w:sz="6" w:space="0" w:color="auto"/>
              <w:left w:val="single" w:sz="6" w:space="0" w:color="auto"/>
              <w:bottom w:val="single" w:sz="6" w:space="0" w:color="auto"/>
              <w:right w:val="single" w:sz="6" w:space="0" w:color="auto"/>
            </w:tcBorders>
            <w:shd w:val="clear" w:color="auto" w:fill="000000"/>
          </w:tcPr>
          <w:p w:rsidR="001948C1" w:rsidRPr="00A0677E" w:rsidRDefault="001948C1" w:rsidP="00016E6B">
            <w:pPr>
              <w:pStyle w:val="BodyTextIndent2"/>
              <w:keepNext/>
              <w:keepLines/>
              <w:spacing w:line="480" w:lineRule="auto"/>
              <w:ind w:firstLine="0"/>
              <w:rPr>
                <w:rFonts w:ascii="Arial" w:hAnsi="Arial" w:cs="Arial"/>
                <w:sz w:val="20"/>
              </w:rPr>
            </w:pPr>
          </w:p>
        </w:tc>
        <w:tc>
          <w:tcPr>
            <w:tcW w:w="383" w:type="dxa"/>
            <w:tcBorders>
              <w:top w:val="single" w:sz="6" w:space="0" w:color="auto"/>
              <w:left w:val="single" w:sz="6" w:space="0" w:color="auto"/>
              <w:bottom w:val="single" w:sz="6" w:space="0" w:color="auto"/>
              <w:right w:val="single" w:sz="6" w:space="0" w:color="auto"/>
            </w:tcBorders>
            <w:shd w:val="clear" w:color="auto" w:fill="000000"/>
          </w:tcPr>
          <w:p w:rsidR="001948C1" w:rsidRPr="00A0677E" w:rsidRDefault="001948C1" w:rsidP="00016E6B">
            <w:pPr>
              <w:pStyle w:val="BodyTextIndent2"/>
              <w:keepNext/>
              <w:keepLines/>
              <w:spacing w:line="480" w:lineRule="auto"/>
              <w:ind w:firstLine="0"/>
              <w:rPr>
                <w:rFonts w:ascii="Arial" w:hAnsi="Arial" w:cs="Arial"/>
                <w:sz w:val="20"/>
              </w:rPr>
            </w:pPr>
          </w:p>
        </w:tc>
        <w:tc>
          <w:tcPr>
            <w:tcW w:w="394" w:type="dxa"/>
            <w:tcBorders>
              <w:top w:val="single" w:sz="6" w:space="0" w:color="auto"/>
              <w:left w:val="single" w:sz="6" w:space="0" w:color="auto"/>
              <w:bottom w:val="single" w:sz="6" w:space="0" w:color="auto"/>
              <w:right w:val="single" w:sz="6" w:space="0" w:color="auto"/>
            </w:tcBorders>
            <w:shd w:val="clear" w:color="auto" w:fill="000000"/>
          </w:tcPr>
          <w:p w:rsidR="001948C1" w:rsidRPr="00A0677E" w:rsidRDefault="001948C1" w:rsidP="00016E6B">
            <w:pPr>
              <w:pStyle w:val="BodyTextIndent2"/>
              <w:keepNext/>
              <w:keepLines/>
              <w:spacing w:line="480" w:lineRule="auto"/>
              <w:ind w:firstLine="0"/>
              <w:rPr>
                <w:rFonts w:ascii="Arial" w:hAnsi="Arial" w:cs="Arial"/>
                <w:sz w:val="20"/>
              </w:rPr>
            </w:pPr>
          </w:p>
        </w:tc>
        <w:tc>
          <w:tcPr>
            <w:tcW w:w="383" w:type="dxa"/>
            <w:tcBorders>
              <w:top w:val="single" w:sz="6" w:space="0" w:color="auto"/>
              <w:left w:val="single" w:sz="6" w:space="0" w:color="auto"/>
              <w:bottom w:val="single" w:sz="6" w:space="0" w:color="auto"/>
              <w:right w:val="single" w:sz="6" w:space="0" w:color="auto"/>
            </w:tcBorders>
            <w:shd w:val="clear" w:color="auto" w:fill="000000"/>
          </w:tcPr>
          <w:p w:rsidR="001948C1" w:rsidRPr="00A0677E" w:rsidRDefault="001948C1" w:rsidP="00016E6B">
            <w:pPr>
              <w:pStyle w:val="BodyTextIndent2"/>
              <w:keepNext/>
              <w:keepLines/>
              <w:spacing w:line="480" w:lineRule="auto"/>
              <w:ind w:firstLine="0"/>
              <w:rPr>
                <w:rFonts w:ascii="Arial" w:hAnsi="Arial" w:cs="Arial"/>
                <w:sz w:val="20"/>
              </w:rPr>
            </w:pPr>
          </w:p>
        </w:tc>
        <w:tc>
          <w:tcPr>
            <w:tcW w:w="383" w:type="dxa"/>
            <w:tcBorders>
              <w:top w:val="single" w:sz="6" w:space="0" w:color="auto"/>
              <w:left w:val="single" w:sz="6" w:space="0" w:color="auto"/>
              <w:bottom w:val="single" w:sz="6" w:space="0" w:color="auto"/>
              <w:right w:val="single" w:sz="6" w:space="0" w:color="auto"/>
            </w:tcBorders>
            <w:shd w:val="clear" w:color="auto" w:fill="000000"/>
          </w:tcPr>
          <w:p w:rsidR="001948C1" w:rsidRPr="00A0677E" w:rsidRDefault="001948C1" w:rsidP="00016E6B">
            <w:pPr>
              <w:pStyle w:val="BodyTextIndent2"/>
              <w:keepNext/>
              <w:keepLines/>
              <w:spacing w:line="480" w:lineRule="auto"/>
              <w:ind w:firstLine="0"/>
              <w:rPr>
                <w:rFonts w:ascii="Arial" w:hAnsi="Arial" w:cs="Arial"/>
                <w:sz w:val="20"/>
              </w:rPr>
            </w:pPr>
          </w:p>
        </w:tc>
        <w:tc>
          <w:tcPr>
            <w:tcW w:w="383" w:type="dxa"/>
            <w:tcBorders>
              <w:top w:val="single" w:sz="6" w:space="0" w:color="auto"/>
              <w:left w:val="single" w:sz="6" w:space="0" w:color="auto"/>
              <w:bottom w:val="single" w:sz="6" w:space="0" w:color="auto"/>
              <w:right w:val="single" w:sz="6" w:space="0" w:color="auto"/>
            </w:tcBorders>
            <w:shd w:val="clear" w:color="auto" w:fill="000000"/>
          </w:tcPr>
          <w:p w:rsidR="001948C1" w:rsidRPr="00A0677E" w:rsidRDefault="001948C1" w:rsidP="00016E6B">
            <w:pPr>
              <w:pStyle w:val="BodyTextIndent2"/>
              <w:keepNext/>
              <w:keepLines/>
              <w:spacing w:line="480" w:lineRule="auto"/>
              <w:ind w:firstLine="0"/>
              <w:rPr>
                <w:rFonts w:ascii="Arial" w:hAnsi="Arial" w:cs="Arial"/>
                <w:sz w:val="20"/>
              </w:rPr>
            </w:pPr>
          </w:p>
        </w:tc>
      </w:tr>
      <w:tr w:rsidR="001948C1" w:rsidRPr="00A0677E" w:rsidTr="00281652">
        <w:trPr>
          <w:cantSplit/>
          <w:jc w:val="center"/>
        </w:trPr>
        <w:tc>
          <w:tcPr>
            <w:tcW w:w="1039" w:type="dxa"/>
            <w:vMerge w:val="restart"/>
            <w:tcBorders>
              <w:top w:val="nil"/>
              <w:left w:val="single" w:sz="6" w:space="0" w:color="auto"/>
              <w:right w:val="single" w:sz="6" w:space="0" w:color="auto"/>
            </w:tcBorders>
            <w:vAlign w:val="center"/>
          </w:tcPr>
          <w:p w:rsidR="001948C1" w:rsidRPr="00A0677E" w:rsidRDefault="001948C1" w:rsidP="00016E6B">
            <w:pPr>
              <w:pStyle w:val="BodyTextIndent2"/>
              <w:keepNext/>
              <w:keepLines/>
              <w:spacing w:line="480" w:lineRule="auto"/>
              <w:ind w:firstLine="0"/>
              <w:rPr>
                <w:rFonts w:ascii="Arial" w:hAnsi="Arial" w:cs="Arial"/>
                <w:sz w:val="20"/>
              </w:rPr>
            </w:pPr>
            <w:r w:rsidRPr="00A0677E">
              <w:rPr>
                <w:rFonts w:ascii="Arial" w:hAnsi="Arial" w:cs="Arial"/>
                <w:sz w:val="20"/>
              </w:rPr>
              <w:t>Clark</w:t>
            </w:r>
          </w:p>
        </w:tc>
        <w:tc>
          <w:tcPr>
            <w:tcW w:w="504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keepNext/>
              <w:keepLines/>
              <w:spacing w:line="480" w:lineRule="auto"/>
              <w:jc w:val="both"/>
              <w:rPr>
                <w:rFonts w:cs="Arial"/>
                <w:sz w:val="20"/>
              </w:rPr>
            </w:pPr>
            <w:r w:rsidRPr="00A0677E">
              <w:rPr>
                <w:rFonts w:cs="Arial"/>
                <w:sz w:val="20"/>
              </w:rPr>
              <w:t>Local Government Statutes Amendment Act, 1998</w:t>
            </w:r>
          </w:p>
        </w:tc>
        <w:tc>
          <w:tcPr>
            <w:tcW w:w="383"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sz w:val="20"/>
              </w:rPr>
            </w:pPr>
            <w:r w:rsidRPr="00A0677E">
              <w:rPr>
                <w:rFonts w:ascii="Arial" w:hAnsi="Arial" w:cs="Arial"/>
                <w:sz w:val="20"/>
              </w:rPr>
              <w:t>N</w:t>
            </w:r>
          </w:p>
        </w:tc>
        <w:tc>
          <w:tcPr>
            <w:tcW w:w="383"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sz w:val="20"/>
              </w:rPr>
            </w:pPr>
            <w:r w:rsidRPr="00A0677E">
              <w:rPr>
                <w:rFonts w:ascii="Arial" w:hAnsi="Arial" w:cs="Arial"/>
                <w:sz w:val="20"/>
              </w:rPr>
              <w:t>N</w:t>
            </w:r>
          </w:p>
        </w:tc>
        <w:tc>
          <w:tcPr>
            <w:tcW w:w="394"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sz w:val="20"/>
              </w:rPr>
            </w:pPr>
            <w:r w:rsidRPr="00A0677E">
              <w:rPr>
                <w:rFonts w:ascii="Arial" w:hAnsi="Arial" w:cs="Arial"/>
                <w:sz w:val="20"/>
              </w:rPr>
              <w:t>Y</w:t>
            </w:r>
          </w:p>
        </w:tc>
        <w:tc>
          <w:tcPr>
            <w:tcW w:w="383"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sz w:val="20"/>
              </w:rPr>
            </w:pPr>
            <w:r w:rsidRPr="00A0677E">
              <w:rPr>
                <w:rFonts w:ascii="Arial" w:hAnsi="Arial" w:cs="Arial"/>
                <w:sz w:val="20"/>
              </w:rPr>
              <w:t>Y</w:t>
            </w:r>
          </w:p>
        </w:tc>
        <w:tc>
          <w:tcPr>
            <w:tcW w:w="383"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sz w:val="20"/>
              </w:rPr>
            </w:pPr>
            <w:r w:rsidRPr="00A0677E">
              <w:rPr>
                <w:rFonts w:ascii="Arial" w:hAnsi="Arial" w:cs="Arial"/>
                <w:sz w:val="20"/>
              </w:rPr>
              <w:t>Y</w:t>
            </w:r>
          </w:p>
        </w:tc>
        <w:tc>
          <w:tcPr>
            <w:tcW w:w="383"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sz w:val="20"/>
              </w:rPr>
            </w:pPr>
            <w:r w:rsidRPr="00A0677E">
              <w:rPr>
                <w:rFonts w:ascii="Arial" w:hAnsi="Arial" w:cs="Arial"/>
                <w:sz w:val="20"/>
              </w:rPr>
              <w:t>N</w:t>
            </w:r>
          </w:p>
        </w:tc>
      </w:tr>
      <w:tr w:rsidR="001948C1" w:rsidRPr="00A0677E" w:rsidTr="00281652">
        <w:trPr>
          <w:cantSplit/>
          <w:jc w:val="center"/>
        </w:trPr>
        <w:tc>
          <w:tcPr>
            <w:tcW w:w="1039" w:type="dxa"/>
            <w:vMerge/>
            <w:tcBorders>
              <w:left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sz w:val="20"/>
              </w:rPr>
            </w:pPr>
          </w:p>
        </w:tc>
        <w:tc>
          <w:tcPr>
            <w:tcW w:w="504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keepNext/>
              <w:keepLines/>
              <w:spacing w:line="480" w:lineRule="auto"/>
              <w:jc w:val="both"/>
              <w:rPr>
                <w:rFonts w:cs="Arial"/>
                <w:sz w:val="20"/>
              </w:rPr>
            </w:pPr>
            <w:r w:rsidRPr="00A0677E">
              <w:rPr>
                <w:rFonts w:cs="Arial"/>
                <w:sz w:val="20"/>
              </w:rPr>
              <w:t>Greater Vancouver Transportation Authority Act, 1998</w:t>
            </w:r>
          </w:p>
        </w:tc>
        <w:tc>
          <w:tcPr>
            <w:tcW w:w="383"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sz w:val="20"/>
              </w:rPr>
            </w:pPr>
            <w:r w:rsidRPr="00A0677E">
              <w:rPr>
                <w:rFonts w:ascii="Arial" w:hAnsi="Arial" w:cs="Arial"/>
                <w:sz w:val="20"/>
              </w:rPr>
              <w:t>Y</w:t>
            </w:r>
          </w:p>
        </w:tc>
        <w:tc>
          <w:tcPr>
            <w:tcW w:w="383"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sz w:val="20"/>
              </w:rPr>
            </w:pPr>
            <w:r w:rsidRPr="00A0677E">
              <w:rPr>
                <w:rFonts w:ascii="Arial" w:hAnsi="Arial" w:cs="Arial"/>
                <w:sz w:val="20"/>
              </w:rPr>
              <w:t>Y</w:t>
            </w:r>
          </w:p>
        </w:tc>
        <w:tc>
          <w:tcPr>
            <w:tcW w:w="394"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sz w:val="20"/>
              </w:rPr>
            </w:pPr>
            <w:r w:rsidRPr="00A0677E">
              <w:rPr>
                <w:rFonts w:ascii="Arial" w:hAnsi="Arial" w:cs="Arial"/>
                <w:sz w:val="20"/>
              </w:rPr>
              <w:t>Y</w:t>
            </w:r>
          </w:p>
        </w:tc>
        <w:tc>
          <w:tcPr>
            <w:tcW w:w="383"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sz w:val="20"/>
              </w:rPr>
            </w:pPr>
            <w:r w:rsidRPr="00A0677E">
              <w:rPr>
                <w:rFonts w:ascii="Arial" w:hAnsi="Arial" w:cs="Arial"/>
                <w:sz w:val="20"/>
              </w:rPr>
              <w:t>Y</w:t>
            </w:r>
          </w:p>
        </w:tc>
        <w:tc>
          <w:tcPr>
            <w:tcW w:w="383"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sz w:val="20"/>
              </w:rPr>
            </w:pPr>
            <w:r w:rsidRPr="00A0677E">
              <w:rPr>
                <w:rFonts w:ascii="Arial" w:hAnsi="Arial" w:cs="Arial"/>
                <w:sz w:val="20"/>
              </w:rPr>
              <w:t>Y</w:t>
            </w:r>
          </w:p>
        </w:tc>
        <w:tc>
          <w:tcPr>
            <w:tcW w:w="383"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sz w:val="20"/>
              </w:rPr>
            </w:pPr>
            <w:r w:rsidRPr="00A0677E">
              <w:rPr>
                <w:rFonts w:ascii="Arial" w:hAnsi="Arial" w:cs="Arial"/>
                <w:sz w:val="20"/>
              </w:rPr>
              <w:t>N</w:t>
            </w:r>
          </w:p>
        </w:tc>
      </w:tr>
      <w:tr w:rsidR="001948C1" w:rsidRPr="00A0677E" w:rsidTr="00281652">
        <w:trPr>
          <w:cantSplit/>
          <w:jc w:val="center"/>
        </w:trPr>
        <w:tc>
          <w:tcPr>
            <w:tcW w:w="1039" w:type="dxa"/>
            <w:vMerge/>
            <w:tcBorders>
              <w:left w:val="single" w:sz="6" w:space="0" w:color="auto"/>
              <w:bottom w:val="nil"/>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sz w:val="20"/>
              </w:rPr>
            </w:pPr>
          </w:p>
        </w:tc>
        <w:tc>
          <w:tcPr>
            <w:tcW w:w="504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keepNext/>
              <w:keepLines/>
              <w:spacing w:line="480" w:lineRule="auto"/>
              <w:jc w:val="both"/>
              <w:rPr>
                <w:rFonts w:cs="Arial"/>
                <w:sz w:val="20"/>
              </w:rPr>
            </w:pPr>
            <w:r w:rsidRPr="00A0677E">
              <w:rPr>
                <w:rFonts w:cs="Arial"/>
                <w:sz w:val="20"/>
              </w:rPr>
              <w:t xml:space="preserve">Local Government Statutes Amendment Act, 1999 </w:t>
            </w:r>
          </w:p>
        </w:tc>
        <w:tc>
          <w:tcPr>
            <w:tcW w:w="383"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sz w:val="20"/>
              </w:rPr>
            </w:pPr>
            <w:r w:rsidRPr="00A0677E">
              <w:rPr>
                <w:rFonts w:ascii="Arial" w:hAnsi="Arial" w:cs="Arial"/>
                <w:sz w:val="20"/>
              </w:rPr>
              <w:t>N</w:t>
            </w:r>
          </w:p>
        </w:tc>
        <w:tc>
          <w:tcPr>
            <w:tcW w:w="383"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sz w:val="20"/>
              </w:rPr>
            </w:pPr>
            <w:r w:rsidRPr="00A0677E">
              <w:rPr>
                <w:rFonts w:ascii="Arial" w:hAnsi="Arial" w:cs="Arial"/>
                <w:sz w:val="20"/>
              </w:rPr>
              <w:t>N</w:t>
            </w:r>
          </w:p>
        </w:tc>
        <w:tc>
          <w:tcPr>
            <w:tcW w:w="394"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sz w:val="20"/>
              </w:rPr>
            </w:pPr>
            <w:r w:rsidRPr="00A0677E">
              <w:rPr>
                <w:rFonts w:ascii="Arial" w:hAnsi="Arial" w:cs="Arial"/>
                <w:sz w:val="20"/>
              </w:rPr>
              <w:t>Y</w:t>
            </w:r>
          </w:p>
        </w:tc>
        <w:tc>
          <w:tcPr>
            <w:tcW w:w="383"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sz w:val="20"/>
              </w:rPr>
            </w:pPr>
            <w:r w:rsidRPr="00A0677E">
              <w:rPr>
                <w:rFonts w:ascii="Arial" w:hAnsi="Arial" w:cs="Arial"/>
                <w:sz w:val="20"/>
              </w:rPr>
              <w:t>Y</w:t>
            </w:r>
          </w:p>
        </w:tc>
        <w:tc>
          <w:tcPr>
            <w:tcW w:w="383"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sz w:val="20"/>
              </w:rPr>
            </w:pPr>
            <w:r w:rsidRPr="00A0677E">
              <w:rPr>
                <w:rFonts w:ascii="Arial" w:hAnsi="Arial" w:cs="Arial"/>
                <w:sz w:val="20"/>
              </w:rPr>
              <w:t>Y</w:t>
            </w:r>
          </w:p>
        </w:tc>
        <w:tc>
          <w:tcPr>
            <w:tcW w:w="383"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sz w:val="20"/>
              </w:rPr>
            </w:pPr>
            <w:r w:rsidRPr="00A0677E">
              <w:rPr>
                <w:rFonts w:ascii="Arial" w:hAnsi="Arial" w:cs="Arial"/>
                <w:sz w:val="20"/>
              </w:rPr>
              <w:t>N</w:t>
            </w:r>
          </w:p>
        </w:tc>
      </w:tr>
      <w:tr w:rsidR="001948C1" w:rsidRPr="00A0677E" w:rsidTr="00281652">
        <w:trPr>
          <w:jc w:val="center"/>
        </w:trPr>
        <w:tc>
          <w:tcPr>
            <w:tcW w:w="1039" w:type="dxa"/>
            <w:tcBorders>
              <w:top w:val="nil"/>
              <w:left w:val="single" w:sz="6" w:space="0" w:color="auto"/>
              <w:bottom w:val="single" w:sz="6" w:space="0" w:color="auto"/>
              <w:right w:val="single" w:sz="6" w:space="0" w:color="auto"/>
            </w:tcBorders>
            <w:shd w:val="clear" w:color="auto" w:fill="000000"/>
          </w:tcPr>
          <w:p w:rsidR="001948C1" w:rsidRPr="00A0677E" w:rsidRDefault="001948C1" w:rsidP="00016E6B">
            <w:pPr>
              <w:pStyle w:val="BodyTextIndent2"/>
              <w:keepNext/>
              <w:keepLines/>
              <w:spacing w:line="480" w:lineRule="auto"/>
              <w:ind w:firstLine="0"/>
              <w:rPr>
                <w:rFonts w:ascii="Arial" w:hAnsi="Arial" w:cs="Arial"/>
                <w:sz w:val="20"/>
              </w:rPr>
            </w:pPr>
          </w:p>
        </w:tc>
        <w:tc>
          <w:tcPr>
            <w:tcW w:w="5040" w:type="dxa"/>
            <w:tcBorders>
              <w:top w:val="single" w:sz="6" w:space="0" w:color="auto"/>
              <w:left w:val="single" w:sz="6" w:space="0" w:color="auto"/>
              <w:bottom w:val="single" w:sz="6" w:space="0" w:color="auto"/>
              <w:right w:val="single" w:sz="6" w:space="0" w:color="auto"/>
            </w:tcBorders>
            <w:shd w:val="clear" w:color="auto" w:fill="000000"/>
          </w:tcPr>
          <w:p w:rsidR="001948C1" w:rsidRPr="00A0677E" w:rsidRDefault="001948C1" w:rsidP="00016E6B">
            <w:pPr>
              <w:pStyle w:val="BodyTextIndent2"/>
              <w:keepNext/>
              <w:keepLines/>
              <w:spacing w:line="480" w:lineRule="auto"/>
              <w:ind w:firstLine="0"/>
              <w:rPr>
                <w:rFonts w:ascii="Arial" w:hAnsi="Arial" w:cs="Arial"/>
                <w:sz w:val="20"/>
              </w:rPr>
            </w:pPr>
          </w:p>
        </w:tc>
        <w:tc>
          <w:tcPr>
            <w:tcW w:w="383" w:type="dxa"/>
            <w:tcBorders>
              <w:top w:val="single" w:sz="6" w:space="0" w:color="auto"/>
              <w:left w:val="single" w:sz="6" w:space="0" w:color="auto"/>
              <w:bottom w:val="single" w:sz="6" w:space="0" w:color="auto"/>
              <w:right w:val="single" w:sz="6" w:space="0" w:color="auto"/>
            </w:tcBorders>
            <w:shd w:val="clear" w:color="auto" w:fill="000000"/>
          </w:tcPr>
          <w:p w:rsidR="001948C1" w:rsidRPr="00A0677E" w:rsidRDefault="001948C1" w:rsidP="00016E6B">
            <w:pPr>
              <w:pStyle w:val="BodyTextIndent2"/>
              <w:keepNext/>
              <w:keepLines/>
              <w:spacing w:line="480" w:lineRule="auto"/>
              <w:ind w:firstLine="0"/>
              <w:rPr>
                <w:rFonts w:ascii="Arial" w:hAnsi="Arial" w:cs="Arial"/>
                <w:sz w:val="20"/>
              </w:rPr>
            </w:pPr>
          </w:p>
        </w:tc>
        <w:tc>
          <w:tcPr>
            <w:tcW w:w="383" w:type="dxa"/>
            <w:tcBorders>
              <w:top w:val="single" w:sz="6" w:space="0" w:color="auto"/>
              <w:left w:val="single" w:sz="6" w:space="0" w:color="auto"/>
              <w:bottom w:val="single" w:sz="6" w:space="0" w:color="auto"/>
              <w:right w:val="single" w:sz="6" w:space="0" w:color="auto"/>
            </w:tcBorders>
            <w:shd w:val="clear" w:color="auto" w:fill="000000"/>
          </w:tcPr>
          <w:p w:rsidR="001948C1" w:rsidRPr="00A0677E" w:rsidRDefault="001948C1" w:rsidP="00016E6B">
            <w:pPr>
              <w:pStyle w:val="BodyTextIndent2"/>
              <w:keepNext/>
              <w:keepLines/>
              <w:spacing w:line="480" w:lineRule="auto"/>
              <w:ind w:firstLine="0"/>
              <w:rPr>
                <w:rFonts w:ascii="Arial" w:hAnsi="Arial" w:cs="Arial"/>
                <w:sz w:val="20"/>
              </w:rPr>
            </w:pPr>
          </w:p>
        </w:tc>
        <w:tc>
          <w:tcPr>
            <w:tcW w:w="394" w:type="dxa"/>
            <w:tcBorders>
              <w:top w:val="single" w:sz="6" w:space="0" w:color="auto"/>
              <w:left w:val="single" w:sz="6" w:space="0" w:color="auto"/>
              <w:bottom w:val="single" w:sz="6" w:space="0" w:color="auto"/>
              <w:right w:val="single" w:sz="6" w:space="0" w:color="auto"/>
            </w:tcBorders>
            <w:shd w:val="clear" w:color="auto" w:fill="000000"/>
          </w:tcPr>
          <w:p w:rsidR="001948C1" w:rsidRPr="00A0677E" w:rsidRDefault="001948C1" w:rsidP="00016E6B">
            <w:pPr>
              <w:pStyle w:val="BodyTextIndent2"/>
              <w:keepNext/>
              <w:keepLines/>
              <w:spacing w:line="480" w:lineRule="auto"/>
              <w:ind w:firstLine="0"/>
              <w:rPr>
                <w:rFonts w:ascii="Arial" w:hAnsi="Arial" w:cs="Arial"/>
                <w:sz w:val="20"/>
              </w:rPr>
            </w:pPr>
          </w:p>
        </w:tc>
        <w:tc>
          <w:tcPr>
            <w:tcW w:w="383" w:type="dxa"/>
            <w:tcBorders>
              <w:top w:val="single" w:sz="6" w:space="0" w:color="auto"/>
              <w:left w:val="single" w:sz="6" w:space="0" w:color="auto"/>
              <w:bottom w:val="single" w:sz="6" w:space="0" w:color="auto"/>
              <w:right w:val="single" w:sz="6" w:space="0" w:color="auto"/>
            </w:tcBorders>
            <w:shd w:val="clear" w:color="auto" w:fill="000000"/>
          </w:tcPr>
          <w:p w:rsidR="001948C1" w:rsidRPr="00A0677E" w:rsidRDefault="001948C1" w:rsidP="00016E6B">
            <w:pPr>
              <w:pStyle w:val="BodyTextIndent2"/>
              <w:keepNext/>
              <w:keepLines/>
              <w:spacing w:line="480" w:lineRule="auto"/>
              <w:ind w:firstLine="0"/>
              <w:rPr>
                <w:rFonts w:ascii="Arial" w:hAnsi="Arial" w:cs="Arial"/>
                <w:sz w:val="20"/>
              </w:rPr>
            </w:pPr>
          </w:p>
        </w:tc>
        <w:tc>
          <w:tcPr>
            <w:tcW w:w="383" w:type="dxa"/>
            <w:tcBorders>
              <w:top w:val="single" w:sz="6" w:space="0" w:color="auto"/>
              <w:left w:val="single" w:sz="6" w:space="0" w:color="auto"/>
              <w:bottom w:val="single" w:sz="6" w:space="0" w:color="auto"/>
              <w:right w:val="single" w:sz="6" w:space="0" w:color="auto"/>
            </w:tcBorders>
            <w:shd w:val="clear" w:color="auto" w:fill="000000"/>
          </w:tcPr>
          <w:p w:rsidR="001948C1" w:rsidRPr="00A0677E" w:rsidRDefault="001948C1" w:rsidP="00016E6B">
            <w:pPr>
              <w:pStyle w:val="BodyTextIndent2"/>
              <w:keepNext/>
              <w:keepLines/>
              <w:spacing w:line="480" w:lineRule="auto"/>
              <w:ind w:firstLine="0"/>
              <w:rPr>
                <w:rFonts w:ascii="Arial" w:hAnsi="Arial" w:cs="Arial"/>
                <w:sz w:val="20"/>
              </w:rPr>
            </w:pPr>
          </w:p>
        </w:tc>
        <w:tc>
          <w:tcPr>
            <w:tcW w:w="383" w:type="dxa"/>
            <w:tcBorders>
              <w:top w:val="single" w:sz="6" w:space="0" w:color="auto"/>
              <w:left w:val="single" w:sz="6" w:space="0" w:color="auto"/>
              <w:bottom w:val="single" w:sz="6" w:space="0" w:color="auto"/>
              <w:right w:val="single" w:sz="6" w:space="0" w:color="auto"/>
            </w:tcBorders>
            <w:shd w:val="clear" w:color="auto" w:fill="000000"/>
          </w:tcPr>
          <w:p w:rsidR="001948C1" w:rsidRPr="00A0677E" w:rsidRDefault="001948C1" w:rsidP="00016E6B">
            <w:pPr>
              <w:pStyle w:val="BodyTextIndent2"/>
              <w:keepNext/>
              <w:keepLines/>
              <w:spacing w:line="480" w:lineRule="auto"/>
              <w:ind w:firstLine="0"/>
              <w:rPr>
                <w:rFonts w:ascii="Arial" w:hAnsi="Arial" w:cs="Arial"/>
                <w:sz w:val="20"/>
              </w:rPr>
            </w:pPr>
          </w:p>
        </w:tc>
      </w:tr>
      <w:tr w:rsidR="001948C1" w:rsidRPr="00A0677E" w:rsidTr="00281652">
        <w:trPr>
          <w:cantSplit/>
          <w:jc w:val="center"/>
        </w:trPr>
        <w:tc>
          <w:tcPr>
            <w:tcW w:w="1039" w:type="dxa"/>
            <w:vMerge w:val="restart"/>
            <w:tcBorders>
              <w:top w:val="single" w:sz="6" w:space="0" w:color="auto"/>
              <w:left w:val="single" w:sz="6" w:space="0" w:color="auto"/>
              <w:right w:val="single" w:sz="6" w:space="0" w:color="auto"/>
            </w:tcBorders>
          </w:tcPr>
          <w:p w:rsidR="001948C1" w:rsidRDefault="001948C1" w:rsidP="00016E6B">
            <w:pPr>
              <w:pStyle w:val="BodyTextIndent2"/>
              <w:keepNext/>
              <w:keepLines/>
              <w:spacing w:line="480" w:lineRule="auto"/>
              <w:ind w:firstLine="0"/>
              <w:rPr>
                <w:rFonts w:ascii="Arial" w:hAnsi="Arial" w:cs="Arial"/>
                <w:sz w:val="18"/>
                <w:szCs w:val="18"/>
              </w:rPr>
            </w:pPr>
          </w:p>
          <w:p w:rsidR="001948C1" w:rsidRPr="009A1029" w:rsidRDefault="001948C1" w:rsidP="00016E6B">
            <w:pPr>
              <w:pStyle w:val="BodyTextIndent2"/>
              <w:keepNext/>
              <w:keepLines/>
              <w:spacing w:line="480" w:lineRule="auto"/>
              <w:ind w:firstLine="0"/>
              <w:rPr>
                <w:rFonts w:ascii="Arial" w:hAnsi="Arial" w:cs="Arial"/>
                <w:sz w:val="18"/>
                <w:szCs w:val="18"/>
              </w:rPr>
            </w:pPr>
            <w:r w:rsidRPr="009A1029">
              <w:rPr>
                <w:rFonts w:ascii="Arial" w:hAnsi="Arial" w:cs="Arial"/>
                <w:sz w:val="18"/>
                <w:szCs w:val="18"/>
              </w:rPr>
              <w:t>Campbell</w:t>
            </w:r>
          </w:p>
        </w:tc>
        <w:tc>
          <w:tcPr>
            <w:tcW w:w="504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FootnoteText"/>
              <w:keepNext/>
              <w:keepLines/>
              <w:spacing w:line="480" w:lineRule="auto"/>
              <w:jc w:val="both"/>
              <w:rPr>
                <w:rFonts w:cs="Arial"/>
              </w:rPr>
            </w:pPr>
            <w:r w:rsidRPr="00A0677E">
              <w:rPr>
                <w:rFonts w:cs="Arial"/>
              </w:rPr>
              <w:t>Community Charter</w:t>
            </w:r>
            <w:r w:rsidR="00AB216A">
              <w:rPr>
                <w:rFonts w:cs="Arial"/>
              </w:rPr>
              <w:t xml:space="preserve"> (2004)</w:t>
            </w:r>
          </w:p>
        </w:tc>
        <w:tc>
          <w:tcPr>
            <w:tcW w:w="383"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sz w:val="20"/>
              </w:rPr>
            </w:pPr>
            <w:r w:rsidRPr="00A0677E">
              <w:rPr>
                <w:rFonts w:ascii="Arial" w:hAnsi="Arial" w:cs="Arial"/>
                <w:sz w:val="20"/>
              </w:rPr>
              <w:t>N</w:t>
            </w:r>
          </w:p>
        </w:tc>
        <w:tc>
          <w:tcPr>
            <w:tcW w:w="383"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sz w:val="20"/>
              </w:rPr>
            </w:pPr>
            <w:r w:rsidRPr="00A0677E">
              <w:rPr>
                <w:rFonts w:ascii="Arial" w:hAnsi="Arial" w:cs="Arial"/>
                <w:sz w:val="20"/>
              </w:rPr>
              <w:t>N</w:t>
            </w:r>
          </w:p>
        </w:tc>
        <w:tc>
          <w:tcPr>
            <w:tcW w:w="394"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sz w:val="20"/>
              </w:rPr>
            </w:pPr>
            <w:r w:rsidRPr="00A0677E">
              <w:rPr>
                <w:rFonts w:ascii="Arial" w:hAnsi="Arial" w:cs="Arial"/>
                <w:sz w:val="20"/>
              </w:rPr>
              <w:t>Y</w:t>
            </w:r>
          </w:p>
        </w:tc>
        <w:tc>
          <w:tcPr>
            <w:tcW w:w="383"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sz w:val="20"/>
              </w:rPr>
            </w:pPr>
            <w:r w:rsidRPr="00A0677E">
              <w:rPr>
                <w:rFonts w:ascii="Arial" w:hAnsi="Arial" w:cs="Arial"/>
                <w:sz w:val="20"/>
              </w:rPr>
              <w:t>Y</w:t>
            </w:r>
          </w:p>
        </w:tc>
        <w:tc>
          <w:tcPr>
            <w:tcW w:w="383"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sz w:val="20"/>
              </w:rPr>
            </w:pPr>
            <w:r w:rsidRPr="00A0677E">
              <w:rPr>
                <w:rFonts w:ascii="Arial" w:hAnsi="Arial" w:cs="Arial"/>
                <w:sz w:val="20"/>
              </w:rPr>
              <w:t>Y</w:t>
            </w:r>
          </w:p>
        </w:tc>
        <w:tc>
          <w:tcPr>
            <w:tcW w:w="383"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sz w:val="20"/>
              </w:rPr>
            </w:pPr>
            <w:r w:rsidRPr="00A0677E">
              <w:rPr>
                <w:rFonts w:ascii="Arial" w:hAnsi="Arial" w:cs="Arial"/>
                <w:sz w:val="20"/>
              </w:rPr>
              <w:t>N</w:t>
            </w:r>
          </w:p>
        </w:tc>
      </w:tr>
      <w:tr w:rsidR="001948C1" w:rsidRPr="00A0677E" w:rsidTr="00281652">
        <w:trPr>
          <w:cantSplit/>
          <w:jc w:val="center"/>
        </w:trPr>
        <w:tc>
          <w:tcPr>
            <w:tcW w:w="1039" w:type="dxa"/>
            <w:vMerge/>
            <w:tcBorders>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sz w:val="20"/>
              </w:rPr>
            </w:pPr>
          </w:p>
        </w:tc>
        <w:tc>
          <w:tcPr>
            <w:tcW w:w="504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FootnoteText"/>
              <w:keepNext/>
              <w:keepLines/>
              <w:spacing w:line="480" w:lineRule="auto"/>
              <w:jc w:val="both"/>
              <w:rPr>
                <w:rFonts w:cs="Arial"/>
                <w:u w:val="single"/>
              </w:rPr>
            </w:pPr>
            <w:r w:rsidRPr="00A0677E">
              <w:rPr>
                <w:rFonts w:cs="Arial"/>
              </w:rPr>
              <w:t>S</w:t>
            </w:r>
            <w:r>
              <w:rPr>
                <w:rFonts w:cs="Arial"/>
              </w:rPr>
              <w:t>ignificant</w:t>
            </w:r>
            <w:r w:rsidRPr="00A0677E">
              <w:rPr>
                <w:rFonts w:cs="Arial"/>
              </w:rPr>
              <w:t xml:space="preserve"> Projects Streamlining Act, 2003</w:t>
            </w:r>
          </w:p>
        </w:tc>
        <w:tc>
          <w:tcPr>
            <w:tcW w:w="383"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sz w:val="20"/>
              </w:rPr>
            </w:pPr>
            <w:r w:rsidRPr="00A0677E">
              <w:rPr>
                <w:rFonts w:ascii="Arial" w:hAnsi="Arial" w:cs="Arial"/>
                <w:sz w:val="20"/>
              </w:rPr>
              <w:t>N</w:t>
            </w:r>
          </w:p>
        </w:tc>
        <w:tc>
          <w:tcPr>
            <w:tcW w:w="383"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sz w:val="20"/>
              </w:rPr>
            </w:pPr>
            <w:r w:rsidRPr="00A0677E">
              <w:rPr>
                <w:rFonts w:ascii="Arial" w:hAnsi="Arial" w:cs="Arial"/>
                <w:sz w:val="20"/>
              </w:rPr>
              <w:t>N</w:t>
            </w:r>
          </w:p>
        </w:tc>
        <w:tc>
          <w:tcPr>
            <w:tcW w:w="394"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sz w:val="20"/>
              </w:rPr>
            </w:pPr>
            <w:r w:rsidRPr="00A0677E">
              <w:rPr>
                <w:rFonts w:ascii="Arial" w:hAnsi="Arial" w:cs="Arial"/>
                <w:sz w:val="20"/>
              </w:rPr>
              <w:t>N</w:t>
            </w:r>
          </w:p>
        </w:tc>
        <w:tc>
          <w:tcPr>
            <w:tcW w:w="383"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sz w:val="20"/>
              </w:rPr>
            </w:pPr>
            <w:r w:rsidRPr="00A0677E">
              <w:rPr>
                <w:rFonts w:ascii="Arial" w:hAnsi="Arial" w:cs="Arial"/>
                <w:sz w:val="20"/>
              </w:rPr>
              <w:t>Y</w:t>
            </w:r>
          </w:p>
        </w:tc>
        <w:tc>
          <w:tcPr>
            <w:tcW w:w="383"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sz w:val="20"/>
              </w:rPr>
            </w:pPr>
            <w:r w:rsidRPr="00A0677E">
              <w:rPr>
                <w:rFonts w:ascii="Arial" w:hAnsi="Arial" w:cs="Arial"/>
                <w:sz w:val="20"/>
              </w:rPr>
              <w:t>N</w:t>
            </w:r>
          </w:p>
        </w:tc>
        <w:tc>
          <w:tcPr>
            <w:tcW w:w="383"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BodyTextIndent2"/>
              <w:keepNext/>
              <w:keepLines/>
              <w:spacing w:line="480" w:lineRule="auto"/>
              <w:ind w:firstLine="0"/>
              <w:rPr>
                <w:rFonts w:ascii="Arial" w:hAnsi="Arial" w:cs="Arial"/>
                <w:sz w:val="20"/>
              </w:rPr>
            </w:pPr>
            <w:r w:rsidRPr="00A0677E">
              <w:rPr>
                <w:rFonts w:ascii="Arial" w:hAnsi="Arial" w:cs="Arial"/>
                <w:sz w:val="20"/>
              </w:rPr>
              <w:t>N</w:t>
            </w:r>
          </w:p>
        </w:tc>
      </w:tr>
      <w:tr w:rsidR="00AB216A" w:rsidRPr="00A0677E" w:rsidTr="00281652">
        <w:trPr>
          <w:cantSplit/>
          <w:jc w:val="center"/>
        </w:trPr>
        <w:tc>
          <w:tcPr>
            <w:tcW w:w="1039" w:type="dxa"/>
            <w:tcBorders>
              <w:left w:val="single" w:sz="6" w:space="0" w:color="auto"/>
              <w:bottom w:val="single" w:sz="6" w:space="0" w:color="auto"/>
              <w:right w:val="single" w:sz="6" w:space="0" w:color="auto"/>
            </w:tcBorders>
          </w:tcPr>
          <w:p w:rsidR="00AB216A" w:rsidRPr="00A0677E" w:rsidRDefault="00AB216A" w:rsidP="00016E6B">
            <w:pPr>
              <w:pStyle w:val="BodyTextIndent2"/>
              <w:keepNext/>
              <w:keepLines/>
              <w:spacing w:line="480" w:lineRule="auto"/>
              <w:ind w:firstLine="0"/>
              <w:rPr>
                <w:rFonts w:ascii="Arial" w:hAnsi="Arial" w:cs="Arial"/>
                <w:sz w:val="20"/>
              </w:rPr>
            </w:pPr>
          </w:p>
        </w:tc>
        <w:tc>
          <w:tcPr>
            <w:tcW w:w="5040" w:type="dxa"/>
            <w:tcBorders>
              <w:top w:val="single" w:sz="6" w:space="0" w:color="auto"/>
              <w:left w:val="single" w:sz="6" w:space="0" w:color="auto"/>
              <w:bottom w:val="single" w:sz="6" w:space="0" w:color="auto"/>
              <w:right w:val="single" w:sz="6" w:space="0" w:color="auto"/>
            </w:tcBorders>
          </w:tcPr>
          <w:p w:rsidR="00AB216A" w:rsidRPr="00A0677E" w:rsidRDefault="00AB216A" w:rsidP="00016E6B">
            <w:pPr>
              <w:pStyle w:val="FootnoteText"/>
              <w:keepNext/>
              <w:keepLines/>
              <w:spacing w:line="480" w:lineRule="auto"/>
              <w:jc w:val="both"/>
              <w:rPr>
                <w:rFonts w:cs="Arial"/>
              </w:rPr>
            </w:pPr>
            <w:r>
              <w:rPr>
                <w:rFonts w:cs="Arial"/>
              </w:rPr>
              <w:t>South Coast British Columbia Transportation Authority (2007)</w:t>
            </w:r>
          </w:p>
        </w:tc>
        <w:tc>
          <w:tcPr>
            <w:tcW w:w="383" w:type="dxa"/>
            <w:tcBorders>
              <w:top w:val="single" w:sz="6" w:space="0" w:color="auto"/>
              <w:left w:val="single" w:sz="6" w:space="0" w:color="auto"/>
              <w:bottom w:val="single" w:sz="6" w:space="0" w:color="auto"/>
              <w:right w:val="single" w:sz="6" w:space="0" w:color="auto"/>
            </w:tcBorders>
          </w:tcPr>
          <w:p w:rsidR="00AB216A" w:rsidRPr="00A0677E" w:rsidRDefault="00AB216A" w:rsidP="00016E6B">
            <w:pPr>
              <w:pStyle w:val="BodyTextIndent2"/>
              <w:keepNext/>
              <w:keepLines/>
              <w:spacing w:line="480" w:lineRule="auto"/>
              <w:ind w:firstLine="0"/>
              <w:rPr>
                <w:rFonts w:ascii="Arial" w:hAnsi="Arial" w:cs="Arial"/>
                <w:sz w:val="20"/>
              </w:rPr>
            </w:pPr>
            <w:r>
              <w:rPr>
                <w:rFonts w:ascii="Arial" w:hAnsi="Arial" w:cs="Arial"/>
                <w:sz w:val="20"/>
              </w:rPr>
              <w:t>Y</w:t>
            </w:r>
          </w:p>
        </w:tc>
        <w:tc>
          <w:tcPr>
            <w:tcW w:w="383" w:type="dxa"/>
            <w:tcBorders>
              <w:top w:val="single" w:sz="6" w:space="0" w:color="auto"/>
              <w:left w:val="single" w:sz="6" w:space="0" w:color="auto"/>
              <w:bottom w:val="single" w:sz="6" w:space="0" w:color="auto"/>
              <w:right w:val="single" w:sz="6" w:space="0" w:color="auto"/>
            </w:tcBorders>
          </w:tcPr>
          <w:p w:rsidR="00AB216A" w:rsidRPr="00A0677E" w:rsidRDefault="00AB216A" w:rsidP="00016E6B">
            <w:pPr>
              <w:pStyle w:val="BodyTextIndent2"/>
              <w:keepNext/>
              <w:keepLines/>
              <w:spacing w:line="480" w:lineRule="auto"/>
              <w:ind w:firstLine="0"/>
              <w:rPr>
                <w:rFonts w:ascii="Arial" w:hAnsi="Arial" w:cs="Arial"/>
                <w:sz w:val="20"/>
              </w:rPr>
            </w:pPr>
            <w:r>
              <w:rPr>
                <w:rFonts w:ascii="Arial" w:hAnsi="Arial" w:cs="Arial"/>
                <w:sz w:val="20"/>
              </w:rPr>
              <w:t>N</w:t>
            </w:r>
          </w:p>
        </w:tc>
        <w:tc>
          <w:tcPr>
            <w:tcW w:w="394" w:type="dxa"/>
            <w:tcBorders>
              <w:top w:val="single" w:sz="6" w:space="0" w:color="auto"/>
              <w:left w:val="single" w:sz="6" w:space="0" w:color="auto"/>
              <w:bottom w:val="single" w:sz="6" w:space="0" w:color="auto"/>
              <w:right w:val="single" w:sz="6" w:space="0" w:color="auto"/>
            </w:tcBorders>
          </w:tcPr>
          <w:p w:rsidR="00AB216A" w:rsidRPr="00A0677E" w:rsidRDefault="00AB216A" w:rsidP="00016E6B">
            <w:pPr>
              <w:pStyle w:val="BodyTextIndent2"/>
              <w:keepNext/>
              <w:keepLines/>
              <w:spacing w:line="480" w:lineRule="auto"/>
              <w:ind w:firstLine="0"/>
              <w:rPr>
                <w:rFonts w:ascii="Arial" w:hAnsi="Arial" w:cs="Arial"/>
                <w:sz w:val="20"/>
              </w:rPr>
            </w:pPr>
            <w:r>
              <w:rPr>
                <w:rFonts w:ascii="Arial" w:hAnsi="Arial" w:cs="Arial"/>
                <w:sz w:val="20"/>
              </w:rPr>
              <w:t>N</w:t>
            </w:r>
          </w:p>
        </w:tc>
        <w:tc>
          <w:tcPr>
            <w:tcW w:w="383" w:type="dxa"/>
            <w:tcBorders>
              <w:top w:val="single" w:sz="6" w:space="0" w:color="auto"/>
              <w:left w:val="single" w:sz="6" w:space="0" w:color="auto"/>
              <w:bottom w:val="single" w:sz="6" w:space="0" w:color="auto"/>
              <w:right w:val="single" w:sz="6" w:space="0" w:color="auto"/>
            </w:tcBorders>
          </w:tcPr>
          <w:p w:rsidR="00AB216A" w:rsidRPr="00A0677E" w:rsidRDefault="00AB216A" w:rsidP="00AB216A">
            <w:pPr>
              <w:pStyle w:val="BodyTextIndent2"/>
              <w:keepNext/>
              <w:keepLines/>
              <w:spacing w:line="480" w:lineRule="auto"/>
              <w:ind w:firstLine="0"/>
              <w:rPr>
                <w:rFonts w:ascii="Arial" w:hAnsi="Arial" w:cs="Arial"/>
                <w:sz w:val="20"/>
              </w:rPr>
            </w:pPr>
            <w:r>
              <w:rPr>
                <w:rFonts w:ascii="Arial" w:hAnsi="Arial" w:cs="Arial"/>
                <w:sz w:val="20"/>
              </w:rPr>
              <w:t>Y</w:t>
            </w:r>
          </w:p>
        </w:tc>
        <w:tc>
          <w:tcPr>
            <w:tcW w:w="383" w:type="dxa"/>
            <w:tcBorders>
              <w:top w:val="single" w:sz="6" w:space="0" w:color="auto"/>
              <w:left w:val="single" w:sz="6" w:space="0" w:color="auto"/>
              <w:bottom w:val="single" w:sz="6" w:space="0" w:color="auto"/>
              <w:right w:val="single" w:sz="6" w:space="0" w:color="auto"/>
            </w:tcBorders>
          </w:tcPr>
          <w:p w:rsidR="00AB216A" w:rsidRPr="00A0677E" w:rsidRDefault="00AB216A" w:rsidP="00AB216A">
            <w:pPr>
              <w:pStyle w:val="BodyTextIndent2"/>
              <w:keepNext/>
              <w:keepLines/>
              <w:spacing w:line="480" w:lineRule="auto"/>
              <w:ind w:firstLine="0"/>
              <w:rPr>
                <w:rFonts w:ascii="Arial" w:hAnsi="Arial" w:cs="Arial"/>
                <w:sz w:val="20"/>
              </w:rPr>
            </w:pPr>
            <w:r>
              <w:rPr>
                <w:rFonts w:ascii="Arial" w:hAnsi="Arial" w:cs="Arial"/>
                <w:sz w:val="20"/>
              </w:rPr>
              <w:t>Y</w:t>
            </w:r>
          </w:p>
        </w:tc>
        <w:tc>
          <w:tcPr>
            <w:tcW w:w="383" w:type="dxa"/>
            <w:tcBorders>
              <w:top w:val="single" w:sz="6" w:space="0" w:color="auto"/>
              <w:left w:val="single" w:sz="6" w:space="0" w:color="auto"/>
              <w:bottom w:val="single" w:sz="6" w:space="0" w:color="auto"/>
              <w:right w:val="single" w:sz="6" w:space="0" w:color="auto"/>
            </w:tcBorders>
          </w:tcPr>
          <w:p w:rsidR="00AB216A" w:rsidRPr="00A0677E" w:rsidRDefault="00AB216A" w:rsidP="00016E6B">
            <w:pPr>
              <w:pStyle w:val="BodyTextIndent2"/>
              <w:keepNext/>
              <w:keepLines/>
              <w:spacing w:line="480" w:lineRule="auto"/>
              <w:ind w:firstLine="0"/>
              <w:rPr>
                <w:rFonts w:ascii="Arial" w:hAnsi="Arial" w:cs="Arial"/>
                <w:sz w:val="20"/>
              </w:rPr>
            </w:pPr>
            <w:r>
              <w:rPr>
                <w:rFonts w:ascii="Arial" w:hAnsi="Arial" w:cs="Arial"/>
                <w:sz w:val="20"/>
              </w:rPr>
              <w:t>N</w:t>
            </w:r>
          </w:p>
        </w:tc>
      </w:tr>
      <w:tr w:rsidR="001948C1" w:rsidRPr="00A0677E" w:rsidTr="00281652">
        <w:trPr>
          <w:cantSplit/>
          <w:jc w:val="center"/>
        </w:trPr>
        <w:tc>
          <w:tcPr>
            <w:tcW w:w="8388" w:type="dxa"/>
            <w:gridSpan w:val="8"/>
            <w:tcBorders>
              <w:top w:val="single" w:sz="6" w:space="0" w:color="auto"/>
              <w:left w:val="nil"/>
              <w:bottom w:val="nil"/>
              <w:right w:val="nil"/>
            </w:tcBorders>
          </w:tcPr>
          <w:p w:rsidR="001948C1" w:rsidRPr="00A0677E" w:rsidRDefault="001948C1" w:rsidP="00016E6B">
            <w:pPr>
              <w:pStyle w:val="BodyTextIndent2"/>
              <w:keepNext/>
              <w:keepLines/>
              <w:spacing w:line="480" w:lineRule="auto"/>
              <w:ind w:firstLine="0"/>
              <w:rPr>
                <w:rFonts w:ascii="Arial" w:hAnsi="Arial" w:cs="Arial"/>
                <w:sz w:val="18"/>
                <w:szCs w:val="18"/>
              </w:rPr>
            </w:pPr>
            <w:r w:rsidRPr="00A0677E">
              <w:rPr>
                <w:rFonts w:ascii="Arial" w:hAnsi="Arial" w:cs="Arial"/>
                <w:sz w:val="18"/>
                <w:szCs w:val="18"/>
              </w:rPr>
              <w:t>Key: S = Structural, F = Functional, Fi = Financial, J = Jurisdictional, E = Efficiency, A = Accountability, Y = Yes, N = No</w:t>
            </w:r>
          </w:p>
        </w:tc>
      </w:tr>
    </w:tbl>
    <w:p w:rsidR="001948C1" w:rsidRPr="00A0677E" w:rsidRDefault="001948C1" w:rsidP="00016E6B">
      <w:pPr>
        <w:spacing w:line="480" w:lineRule="auto"/>
        <w:ind w:firstLine="720"/>
        <w:jc w:val="both"/>
        <w:rPr>
          <w:rFonts w:cs="Arial"/>
        </w:rPr>
      </w:pPr>
      <w:r w:rsidRPr="00A0677E">
        <w:rPr>
          <w:rFonts w:cs="Arial"/>
        </w:rPr>
        <w:t xml:space="preserve">As shown in Table 2.2, the only major </w:t>
      </w:r>
      <w:r w:rsidRPr="00A0677E">
        <w:rPr>
          <w:rFonts w:cs="Arial"/>
          <w:i/>
        </w:rPr>
        <w:t>structural</w:t>
      </w:r>
      <w:r w:rsidRPr="00A0677E">
        <w:rPr>
          <w:rFonts w:cs="Arial"/>
        </w:rPr>
        <w:t xml:space="preserve"> reform has come through the changes made to regional transit in Greater Vancouver in legislation that was of little general consequence to municipal authorities in the largest city-region and of no significance for those located in rest of the province. The Greater Vancouver Transportation Authority Act, 1998 </w:t>
      </w:r>
      <w:r w:rsidR="00AB216A">
        <w:rPr>
          <w:rFonts w:cs="Arial"/>
        </w:rPr>
        <w:t xml:space="preserve">– and the creation of the SCBCTA in 2007 - </w:t>
      </w:r>
      <w:r w:rsidRPr="00A0677E">
        <w:rPr>
          <w:rFonts w:cs="Arial"/>
        </w:rPr>
        <w:t xml:space="preserve"> represent</w:t>
      </w:r>
      <w:r w:rsidR="00AB216A">
        <w:rPr>
          <w:rFonts w:cs="Arial"/>
        </w:rPr>
        <w:t>ed</w:t>
      </w:r>
      <w:r w:rsidRPr="00A0677E">
        <w:rPr>
          <w:rFonts w:cs="Arial"/>
        </w:rPr>
        <w:t xml:space="preserve"> the only major </w:t>
      </w:r>
      <w:r w:rsidRPr="00A0677E">
        <w:rPr>
          <w:rFonts w:cs="Arial"/>
          <w:i/>
        </w:rPr>
        <w:t>functional</w:t>
      </w:r>
      <w:r w:rsidRPr="00A0677E">
        <w:rPr>
          <w:rFonts w:cs="Arial"/>
        </w:rPr>
        <w:t xml:space="preserve"> change over the last </w:t>
      </w:r>
      <w:r w:rsidR="004B5435">
        <w:rPr>
          <w:rFonts w:cs="Arial"/>
        </w:rPr>
        <w:t>twenty</w:t>
      </w:r>
      <w:r w:rsidRPr="00A0677E">
        <w:rPr>
          <w:rFonts w:cs="Arial"/>
        </w:rPr>
        <w:t xml:space="preserve"> years. Whereas Harcourt’s reforms were administrative in nature, all significant changes since 1996 have affected the </w:t>
      </w:r>
      <w:r w:rsidRPr="00A0677E">
        <w:rPr>
          <w:rFonts w:cs="Arial"/>
          <w:i/>
        </w:rPr>
        <w:t>financial</w:t>
      </w:r>
      <w:r w:rsidRPr="00A0677E">
        <w:rPr>
          <w:rFonts w:cs="Arial"/>
        </w:rPr>
        <w:t xml:space="preserve"> and </w:t>
      </w:r>
      <w:r w:rsidRPr="00A0677E">
        <w:rPr>
          <w:rFonts w:cs="Arial"/>
          <w:i/>
        </w:rPr>
        <w:t>jurisdictional</w:t>
      </w:r>
      <w:r w:rsidRPr="00A0677E">
        <w:rPr>
          <w:rFonts w:cs="Arial"/>
        </w:rPr>
        <w:t xml:space="preserve"> capacities of municipal governments in BC. </w:t>
      </w:r>
      <w:r w:rsidRPr="00A0677E">
        <w:rPr>
          <w:rFonts w:cs="Arial"/>
        </w:rPr>
        <w:lastRenderedPageBreak/>
        <w:t xml:space="preserve">These changes include NDP and Liberal efforts to reduce oversight by the provincial government and NDP/Liberal promises to allow more taxation powers and to transform municipalities from corporations into ‘natural persons’. The last two columns in Table 2.2 illustrate how efficiency and accountability were affected by the listed acts. Looking at the </w:t>
      </w:r>
      <w:r w:rsidR="004B5435">
        <w:rPr>
          <w:rFonts w:cs="Arial"/>
        </w:rPr>
        <w:t>various</w:t>
      </w:r>
      <w:r w:rsidRPr="00A0677E">
        <w:rPr>
          <w:rFonts w:cs="Arial"/>
        </w:rPr>
        <w:t xml:space="preserve"> electoral terms, the Harcourt era (1991–6) can be seen as having introduced the most balanced municipal reforms, with the Clark/Miller/Dosanjh and Campbell governments focusing on efficiency and virtually ignoring accountability. Under Municipal Affairs Minister Darlene Marzari, the Harcourt New Democrats showed insight in partially devolving power to create a more co-operative municipal/provincial relationship and in achieving widespread agreement on the Growth Strategies Act. On the accountability side, allowing local parties to be identified on local election ballots and forcing candidates to disclose their funding sources helped speed the development of municipal political parties and increased election transparency in BC’s larger municipalities. As strong and active local political parties often represent one of the most significant challenges to long-entrenched urban regimes</w:t>
      </w:r>
      <w:r w:rsidR="004B5435">
        <w:rPr>
          <w:rFonts w:cs="Arial"/>
        </w:rPr>
        <w:t xml:space="preserve"> – and the imperatives of an “at-large” electoral system</w:t>
      </w:r>
      <w:r w:rsidR="00AB216A">
        <w:rPr>
          <w:rFonts w:cs="Arial"/>
        </w:rPr>
        <w:t xml:space="preserve"> </w:t>
      </w:r>
      <w:r w:rsidR="004B5435">
        <w:rPr>
          <w:rFonts w:cs="Arial"/>
        </w:rPr>
        <w:t>-</w:t>
      </w:r>
      <w:r w:rsidR="00AB216A">
        <w:rPr>
          <w:rFonts w:cs="Arial"/>
        </w:rPr>
        <w:t xml:space="preserve"> </w:t>
      </w:r>
      <w:r w:rsidRPr="00A0677E">
        <w:rPr>
          <w:rFonts w:cs="Arial"/>
        </w:rPr>
        <w:t xml:space="preserve">Harcourt’s ‘minor’ administrative changes encouraging municipal political party formation represent the single largest accountability reform of the past </w:t>
      </w:r>
      <w:r w:rsidR="004B5435">
        <w:rPr>
          <w:rFonts w:cs="Arial"/>
        </w:rPr>
        <w:t>twenty</w:t>
      </w:r>
      <w:r w:rsidRPr="00A0677E">
        <w:rPr>
          <w:rFonts w:cs="Arial"/>
        </w:rPr>
        <w:t xml:space="preserve"> years in British Columbia.</w:t>
      </w:r>
    </w:p>
    <w:p w:rsidR="001948C1" w:rsidRPr="00A0677E" w:rsidRDefault="001948C1" w:rsidP="00016E6B">
      <w:pPr>
        <w:spacing w:line="480" w:lineRule="auto"/>
        <w:ind w:firstLine="720"/>
        <w:jc w:val="both"/>
        <w:rPr>
          <w:rFonts w:cs="Arial"/>
        </w:rPr>
      </w:pPr>
      <w:r w:rsidRPr="00A0677E">
        <w:rPr>
          <w:rFonts w:cs="Arial"/>
        </w:rPr>
        <w:t xml:space="preserve">While Clark, Miller, Dosanjh, and their respective ministers were aware that an efficiency/accountability balance needed to be struck, not only did they fail to implement accountability reforms but they also threatened the atmosphere of co-operation cultivated by Harcourt. Mike Farnworth’s reforms, embodied in Bill 31, the Local Government Act, began a process of empowering local governments. The task of </w:t>
      </w:r>
      <w:r w:rsidRPr="00A0677E">
        <w:rPr>
          <w:rFonts w:cs="Arial"/>
        </w:rPr>
        <w:lastRenderedPageBreak/>
        <w:t xml:space="preserve">strengthening the power of local citizens to control municipal officials was left to Jenny Kwan, Farnworth’s successor in the Municipal Affairs portfolio. However, </w:t>
      </w:r>
      <w:r w:rsidR="004B5435">
        <w:rPr>
          <w:rFonts w:cs="Arial"/>
        </w:rPr>
        <w:t>her Cabinet colleagues were not up</w:t>
      </w:r>
      <w:r w:rsidRPr="00A0677E">
        <w:rPr>
          <w:rFonts w:cs="Arial"/>
        </w:rPr>
        <w:t xml:space="preserve"> to the challenge and her Bill 88 changes were </w:t>
      </w:r>
      <w:r w:rsidR="004B5435">
        <w:rPr>
          <w:rFonts w:cs="Arial"/>
        </w:rPr>
        <w:t>largely</w:t>
      </w:r>
      <w:r w:rsidRPr="00A0677E">
        <w:rPr>
          <w:rFonts w:cs="Arial"/>
        </w:rPr>
        <w:t xml:space="preserve"> ineffective, as were those of her NDP successors. Community Charter reforms under Liberal Premier Gordon Campbell—a former Vancouver mayor and GVRD chair—suggest an overemphasis on efficiency versus accountability</w:t>
      </w:r>
      <w:r w:rsidR="004B5435">
        <w:rPr>
          <w:rFonts w:cs="Arial"/>
        </w:rPr>
        <w:t xml:space="preserve"> again</w:t>
      </w:r>
      <w:r w:rsidRPr="00A0677E">
        <w:rPr>
          <w:rFonts w:cs="Arial"/>
        </w:rPr>
        <w:t xml:space="preserve">. Despite strong language in the </w:t>
      </w:r>
      <w:r w:rsidRPr="0027244A">
        <w:rPr>
          <w:rFonts w:cs="Arial"/>
          <w:i/>
        </w:rPr>
        <w:t>Community Charter</w:t>
      </w:r>
      <w:r w:rsidRPr="00A0677E">
        <w:rPr>
          <w:rFonts w:cs="Arial"/>
        </w:rPr>
        <w:t xml:space="preserve"> about ‘a new deal for BC’s municipalities’, unless substantive electoral and non-electoral accountability reforms </w:t>
      </w:r>
      <w:r w:rsidR="004B5435">
        <w:rPr>
          <w:rFonts w:cs="Arial"/>
        </w:rPr>
        <w:t>we</w:t>
      </w:r>
      <w:r w:rsidRPr="00A0677E">
        <w:rPr>
          <w:rFonts w:cs="Arial"/>
        </w:rPr>
        <w:t xml:space="preserve">re included in subsequent legislation, all that </w:t>
      </w:r>
      <w:r w:rsidR="004B5435">
        <w:rPr>
          <w:rFonts w:cs="Arial"/>
        </w:rPr>
        <w:t>could</w:t>
      </w:r>
      <w:r w:rsidRPr="00A0677E">
        <w:rPr>
          <w:rFonts w:cs="Arial"/>
        </w:rPr>
        <w:t xml:space="preserve"> occur </w:t>
      </w:r>
      <w:r w:rsidR="004B5435">
        <w:rPr>
          <w:rFonts w:cs="Arial"/>
        </w:rPr>
        <w:t>wa</w:t>
      </w:r>
      <w:r w:rsidRPr="00A0677E">
        <w:rPr>
          <w:rFonts w:cs="Arial"/>
        </w:rPr>
        <w:t xml:space="preserve">s a further empowering of under-accountable local governments in BC. </w:t>
      </w:r>
    </w:p>
    <w:p w:rsidR="001948C1" w:rsidRPr="00A0677E" w:rsidRDefault="001948C1" w:rsidP="00016E6B">
      <w:pPr>
        <w:spacing w:line="480" w:lineRule="auto"/>
        <w:ind w:firstLine="720"/>
        <w:jc w:val="both"/>
        <w:rPr>
          <w:rFonts w:cs="Arial"/>
        </w:rPr>
      </w:pPr>
      <w:r w:rsidRPr="00A0677E">
        <w:rPr>
          <w:rFonts w:cs="Arial"/>
        </w:rPr>
        <w:t>Among other things, this BC</w:t>
      </w:r>
      <w:r w:rsidR="004B5435">
        <w:rPr>
          <w:rFonts w:cs="Arial"/>
        </w:rPr>
        <w:t xml:space="preserve"> legislative</w:t>
      </w:r>
      <w:r w:rsidRPr="00A0677E">
        <w:rPr>
          <w:rFonts w:cs="Arial"/>
        </w:rPr>
        <w:t xml:space="preserve"> experience supports several conclusions:</w:t>
      </w:r>
    </w:p>
    <w:p w:rsidR="001948C1" w:rsidRPr="00A0677E" w:rsidRDefault="001948C1" w:rsidP="00016E6B">
      <w:pPr>
        <w:numPr>
          <w:ilvl w:val="0"/>
          <w:numId w:val="12"/>
        </w:numPr>
        <w:overflowPunct w:val="0"/>
        <w:autoSpaceDE w:val="0"/>
        <w:autoSpaceDN w:val="0"/>
        <w:adjustRightInd w:val="0"/>
        <w:spacing w:line="480" w:lineRule="auto"/>
        <w:jc w:val="both"/>
        <w:textAlignment w:val="baseline"/>
        <w:rPr>
          <w:rFonts w:cs="Arial"/>
        </w:rPr>
      </w:pPr>
      <w:r w:rsidRPr="00A0677E">
        <w:rPr>
          <w:rFonts w:cs="Arial"/>
        </w:rPr>
        <w:t>Local governmental issues command significant attention of provincial governments in British Columbia.</w:t>
      </w:r>
    </w:p>
    <w:p w:rsidR="001948C1" w:rsidRPr="00A0677E" w:rsidRDefault="001948C1" w:rsidP="00016E6B">
      <w:pPr>
        <w:numPr>
          <w:ilvl w:val="0"/>
          <w:numId w:val="12"/>
        </w:numPr>
        <w:overflowPunct w:val="0"/>
        <w:autoSpaceDE w:val="0"/>
        <w:autoSpaceDN w:val="0"/>
        <w:adjustRightInd w:val="0"/>
        <w:spacing w:line="480" w:lineRule="auto"/>
        <w:jc w:val="both"/>
        <w:textAlignment w:val="baseline"/>
        <w:rPr>
          <w:rFonts w:cs="Arial"/>
        </w:rPr>
      </w:pPr>
      <w:r w:rsidRPr="00A0677E">
        <w:rPr>
          <w:rFonts w:cs="Arial"/>
        </w:rPr>
        <w:t xml:space="preserve">Legislative reform increasingly allows municipal governments more decisional capacity – </w:t>
      </w:r>
      <w:r w:rsidR="004B5435">
        <w:rPr>
          <w:rFonts w:cs="Arial"/>
        </w:rPr>
        <w:t>though more limited (still) fiscal capacity.</w:t>
      </w:r>
    </w:p>
    <w:p w:rsidR="001948C1" w:rsidRPr="00A0677E" w:rsidRDefault="001948C1" w:rsidP="00016E6B">
      <w:pPr>
        <w:numPr>
          <w:ilvl w:val="0"/>
          <w:numId w:val="12"/>
        </w:numPr>
        <w:overflowPunct w:val="0"/>
        <w:autoSpaceDE w:val="0"/>
        <w:autoSpaceDN w:val="0"/>
        <w:adjustRightInd w:val="0"/>
        <w:spacing w:line="480" w:lineRule="auto"/>
        <w:jc w:val="both"/>
        <w:textAlignment w:val="baseline"/>
        <w:rPr>
          <w:rFonts w:cs="Arial"/>
        </w:rPr>
      </w:pPr>
      <w:r w:rsidRPr="00A0677E">
        <w:rPr>
          <w:rFonts w:cs="Arial"/>
        </w:rPr>
        <w:t xml:space="preserve">Each reform plan has included </w:t>
      </w:r>
      <w:r w:rsidRPr="004B5435">
        <w:rPr>
          <w:rFonts w:cs="Arial"/>
          <w:i/>
        </w:rPr>
        <w:t>the promise</w:t>
      </w:r>
      <w:r w:rsidRPr="00A0677E">
        <w:rPr>
          <w:rFonts w:cs="Arial"/>
        </w:rPr>
        <w:t xml:space="preserve"> of concomitant democratic reforms (on the accountability side), but in almost every case such promise has remained unfulfilled.</w:t>
      </w:r>
    </w:p>
    <w:p w:rsidR="001948C1" w:rsidRPr="0027244A" w:rsidRDefault="001948C1" w:rsidP="00016E6B">
      <w:pPr>
        <w:spacing w:line="480" w:lineRule="auto"/>
        <w:jc w:val="both"/>
        <w:rPr>
          <w:rFonts w:cs="Arial"/>
          <w:sz w:val="16"/>
          <w:szCs w:val="16"/>
        </w:rPr>
      </w:pPr>
    </w:p>
    <w:p w:rsidR="001948C1" w:rsidRPr="00A0677E" w:rsidRDefault="001948C1" w:rsidP="00016E6B">
      <w:pPr>
        <w:spacing w:line="480" w:lineRule="auto"/>
        <w:ind w:firstLine="720"/>
        <w:jc w:val="both"/>
        <w:rPr>
          <w:rFonts w:cs="Arial"/>
        </w:rPr>
      </w:pPr>
      <w:r w:rsidRPr="00A0677E">
        <w:rPr>
          <w:rFonts w:cs="Arial"/>
        </w:rPr>
        <w:t xml:space="preserve">The argument here is not against the empowerment of local governments—this notion has been part of the policy discourse since Lord Durham noted that the Rebellions of 1837–38 were partly caused by the fact that colonial powers had not taken advantage of local governmental development ‘as a training ground for democracy’ (Smith, 1998a; Craig, 1985). Decentralization has been on the agendas of the Canadian </w:t>
      </w:r>
      <w:r w:rsidRPr="00A0677E">
        <w:rPr>
          <w:rFonts w:cs="Arial"/>
        </w:rPr>
        <w:lastRenderedPageBreak/>
        <w:t xml:space="preserve">Federation of Mayors and Municipalities/Federation of Canadian Municipalities at least since the 1976 report, </w:t>
      </w:r>
      <w:r w:rsidRPr="00A0677E">
        <w:rPr>
          <w:rFonts w:cs="Arial"/>
          <w:i/>
        </w:rPr>
        <w:t>Puppets on a Shoestring</w:t>
      </w:r>
      <w:r w:rsidRPr="00A0677E">
        <w:rPr>
          <w:rFonts w:cs="Arial"/>
        </w:rPr>
        <w:t xml:space="preserve">, </w:t>
      </w:r>
    </w:p>
    <w:p w:rsidR="001948C1" w:rsidRPr="00A0677E" w:rsidRDefault="001948C1" w:rsidP="00016E6B">
      <w:pPr>
        <w:spacing w:line="480" w:lineRule="auto"/>
        <w:ind w:firstLine="720"/>
        <w:jc w:val="both"/>
        <w:rPr>
          <w:rFonts w:cs="Arial"/>
        </w:rPr>
      </w:pPr>
      <w:r w:rsidRPr="00A0677E">
        <w:rPr>
          <w:rFonts w:cs="Arial"/>
        </w:rPr>
        <w:t xml:space="preserve">Rather, the point is that if substantive decision-making capacity is to shift from provincial to local hands, then the local citizenry must be given the tools to control their officials. Otherwise, they may have less say than if power had remained centralized. </w:t>
      </w:r>
    </w:p>
    <w:p w:rsidR="0027244A" w:rsidRDefault="001948C1" w:rsidP="00016E6B">
      <w:pPr>
        <w:spacing w:line="480" w:lineRule="auto"/>
        <w:ind w:firstLine="720"/>
        <w:jc w:val="both"/>
        <w:rPr>
          <w:rFonts w:cs="Arial"/>
        </w:rPr>
      </w:pPr>
      <w:r w:rsidRPr="00A0677E">
        <w:rPr>
          <w:rFonts w:cs="Arial"/>
        </w:rPr>
        <w:t xml:space="preserve">As it stands, British Columbia’s largest municipalities (and regions) have a serious accountability deficit. Although useful as part of an overall package, tinkering with conflict of interest laws, open meetings, and annual reports are simply not </w:t>
      </w:r>
      <w:r w:rsidR="00F92723">
        <w:rPr>
          <w:rFonts w:cs="Arial"/>
        </w:rPr>
        <w:t>sufficient</w:t>
      </w:r>
      <w:r w:rsidRPr="00A0677E">
        <w:rPr>
          <w:rFonts w:cs="Arial"/>
        </w:rPr>
        <w:t>.</w:t>
      </w:r>
      <w:r w:rsidR="00F92723">
        <w:rPr>
          <w:rFonts w:cs="Arial"/>
        </w:rPr>
        <w:t xml:space="preserve"> </w:t>
      </w:r>
      <w:r w:rsidRPr="00A0677E">
        <w:rPr>
          <w:rFonts w:cs="Arial"/>
        </w:rPr>
        <w:t xml:space="preserve">Avoiding the central questions of electoral accountability and local democratic disengagement will not solve the problem. </w:t>
      </w:r>
      <w:r w:rsidR="0027244A">
        <w:rPr>
          <w:rFonts w:cs="Arial"/>
        </w:rPr>
        <w:t>As noted above, and as</w:t>
      </w:r>
      <w:r w:rsidRPr="00A0677E">
        <w:rPr>
          <w:rFonts w:cs="Arial"/>
        </w:rPr>
        <w:t xml:space="preserve"> Allan Lambert and fellow commissioners noted in the </w:t>
      </w:r>
      <w:r w:rsidRPr="00A0677E">
        <w:rPr>
          <w:rFonts w:cs="Arial"/>
          <w:i/>
        </w:rPr>
        <w:t>Report</w:t>
      </w:r>
      <w:r w:rsidRPr="00A0677E">
        <w:rPr>
          <w:rFonts w:cs="Arial"/>
        </w:rPr>
        <w:t xml:space="preserve"> of the 1979 Royal Commission on Financial Management and Accountability, ‘you cannot have efficiency in democratic government without accountability.’ Floating around with one oar in the water</w:t>
      </w:r>
      <w:r w:rsidR="0027244A">
        <w:rPr>
          <w:rFonts w:cs="Arial"/>
        </w:rPr>
        <w:t xml:space="preserve"> (or leading a pack of barking dogs through the legislative woods)</w:t>
      </w:r>
      <w:r w:rsidRPr="00A0677E">
        <w:rPr>
          <w:rFonts w:cs="Arial"/>
        </w:rPr>
        <w:t xml:space="preserve"> will not get BC to the accountability shore. Thus, adding accountability to local government reforms remain</w:t>
      </w:r>
      <w:r w:rsidR="0027244A">
        <w:rPr>
          <w:rFonts w:cs="Arial"/>
        </w:rPr>
        <w:t>ed</w:t>
      </w:r>
      <w:r w:rsidRPr="00A0677E">
        <w:rPr>
          <w:rFonts w:cs="Arial"/>
        </w:rPr>
        <w:t xml:space="preserve"> the primary</w:t>
      </w:r>
      <w:r w:rsidR="0027244A">
        <w:rPr>
          <w:rFonts w:cs="Arial"/>
        </w:rPr>
        <w:t xml:space="preserve"> incomplete</w:t>
      </w:r>
      <w:r w:rsidRPr="00A0677E">
        <w:rPr>
          <w:rFonts w:cs="Arial"/>
        </w:rPr>
        <w:t xml:space="preserve"> task for the Campbell Liberal government</w:t>
      </w:r>
      <w:r w:rsidR="0027244A">
        <w:rPr>
          <w:rFonts w:cs="Arial"/>
        </w:rPr>
        <w:t xml:space="preserve"> - as it is for </w:t>
      </w:r>
      <w:r w:rsidRPr="00A0677E">
        <w:rPr>
          <w:rFonts w:cs="Arial"/>
        </w:rPr>
        <w:t>any future government</w:t>
      </w:r>
      <w:r w:rsidR="0027244A">
        <w:rPr>
          <w:rFonts w:cs="Arial"/>
        </w:rPr>
        <w:t xml:space="preserve"> </w:t>
      </w:r>
      <w:r w:rsidRPr="00A0677E">
        <w:rPr>
          <w:rFonts w:cs="Arial"/>
        </w:rPr>
        <w:t xml:space="preserve">in BC. </w:t>
      </w:r>
    </w:p>
    <w:p w:rsidR="001948C1" w:rsidRPr="00A0677E" w:rsidRDefault="0027244A" w:rsidP="00016E6B">
      <w:pPr>
        <w:spacing w:line="480" w:lineRule="auto"/>
        <w:ind w:firstLine="720"/>
        <w:jc w:val="both"/>
        <w:rPr>
          <w:rFonts w:cs="Arial"/>
        </w:rPr>
      </w:pPr>
      <w:r>
        <w:rPr>
          <w:rFonts w:cs="Arial"/>
        </w:rPr>
        <w:t xml:space="preserve">In terms of the Campbell legacy </w:t>
      </w:r>
      <w:r w:rsidR="00FF3273">
        <w:rPr>
          <w:rFonts w:cs="Arial"/>
        </w:rPr>
        <w:t xml:space="preserve">generally, there have been initiatives of note: from fixed election dates and legislative calenders to </w:t>
      </w:r>
      <w:r w:rsidR="000D271C">
        <w:rPr>
          <w:rFonts w:cs="Arial"/>
        </w:rPr>
        <w:t xml:space="preserve">a </w:t>
      </w:r>
      <w:r w:rsidR="00FF3273">
        <w:rPr>
          <w:rFonts w:cs="Arial"/>
        </w:rPr>
        <w:t xml:space="preserve">citizens’ assembly and electoral reform referenda; </w:t>
      </w:r>
      <w:r>
        <w:rPr>
          <w:rFonts w:cs="Arial"/>
        </w:rPr>
        <w:t>on</w:t>
      </w:r>
      <w:r w:rsidR="00FF3273">
        <w:rPr>
          <w:rFonts w:cs="Arial"/>
        </w:rPr>
        <w:t xml:space="preserve"> the Campbell legacy on</w:t>
      </w:r>
      <w:r>
        <w:rPr>
          <w:rFonts w:cs="Arial"/>
        </w:rPr>
        <w:t xml:space="preserve"> local government democratic reform, e</w:t>
      </w:r>
      <w:r w:rsidR="001948C1" w:rsidRPr="00A0677E">
        <w:rPr>
          <w:rFonts w:cs="Arial"/>
        </w:rPr>
        <w:t xml:space="preserve">arly twenty-first-century evidence </w:t>
      </w:r>
      <w:r>
        <w:rPr>
          <w:rFonts w:cs="Arial"/>
        </w:rPr>
        <w:t>from</w:t>
      </w:r>
      <w:r w:rsidR="001948C1" w:rsidRPr="00A0677E">
        <w:rPr>
          <w:rFonts w:cs="Arial"/>
        </w:rPr>
        <w:t xml:space="preserve"> British Columbia strongly suggests this </w:t>
      </w:r>
      <w:r>
        <w:rPr>
          <w:rFonts w:cs="Arial"/>
        </w:rPr>
        <w:t>lesson:  “LESS is LESS!”</w:t>
      </w:r>
      <w:r w:rsidR="00FF3273">
        <w:rPr>
          <w:rFonts w:cs="Arial"/>
        </w:rPr>
        <w:t xml:space="preserve"> – an agenda largely unfinished</w:t>
      </w:r>
      <w:r w:rsidR="000D271C">
        <w:rPr>
          <w:rFonts w:cs="Arial"/>
        </w:rPr>
        <w:t xml:space="preserve"> – so bark on!</w:t>
      </w:r>
      <w:r w:rsidR="00FF3273">
        <w:rPr>
          <w:rFonts w:cs="Arial"/>
        </w:rPr>
        <w:t>.</w:t>
      </w:r>
    </w:p>
    <w:p w:rsidR="001948C1" w:rsidRPr="00A40CCB" w:rsidRDefault="0027244A" w:rsidP="00016E6B">
      <w:pPr>
        <w:spacing w:line="480" w:lineRule="auto"/>
        <w:ind w:firstLine="720"/>
        <w:jc w:val="both"/>
        <w:rPr>
          <w:rFonts w:cs="Arial"/>
        </w:rPr>
      </w:pPr>
      <w:r>
        <w:rPr>
          <w:rFonts w:cs="Arial"/>
        </w:rPr>
        <w:lastRenderedPageBreak/>
        <w:t>P</w:t>
      </w:r>
      <w:r w:rsidR="001948C1" w:rsidRPr="00A0677E">
        <w:rPr>
          <w:rFonts w:cs="Arial"/>
        </w:rPr>
        <w:t>rovincial government</w:t>
      </w:r>
      <w:r>
        <w:rPr>
          <w:rFonts w:cs="Arial"/>
        </w:rPr>
        <w:t>s</w:t>
      </w:r>
      <w:r w:rsidR="001948C1" w:rsidRPr="00A0677E">
        <w:rPr>
          <w:rFonts w:cs="Arial"/>
        </w:rPr>
        <w:t xml:space="preserve"> continue to</w:t>
      </w:r>
      <w:r>
        <w:rPr>
          <w:rFonts w:cs="Arial"/>
        </w:rPr>
        <w:t xml:space="preserve"> try to</w:t>
      </w:r>
      <w:r w:rsidR="001948C1" w:rsidRPr="00A0677E">
        <w:rPr>
          <w:rFonts w:cs="Arial"/>
        </w:rPr>
        <w:t xml:space="preserve"> steer </w:t>
      </w:r>
      <w:r w:rsidR="001948C1" w:rsidRPr="00A0677E">
        <w:rPr>
          <w:rFonts w:cs="Arial"/>
          <w:i/>
        </w:rPr>
        <w:t>and</w:t>
      </w:r>
      <w:r w:rsidR="001948C1" w:rsidRPr="00A0677E">
        <w:rPr>
          <w:rFonts w:cs="Arial"/>
        </w:rPr>
        <w:t xml:space="preserve"> row. </w:t>
      </w:r>
      <w:r>
        <w:rPr>
          <w:rFonts w:cs="Arial"/>
        </w:rPr>
        <w:t>T</w:t>
      </w:r>
      <w:r w:rsidR="001948C1" w:rsidRPr="00A0677E">
        <w:rPr>
          <w:rFonts w:cs="Arial"/>
        </w:rPr>
        <w:t xml:space="preserve">he turnout in larger municipalities </w:t>
      </w:r>
      <w:r>
        <w:rPr>
          <w:rFonts w:cs="Arial"/>
        </w:rPr>
        <w:t xml:space="preserve">for civic elections has been </w:t>
      </w:r>
      <w:r w:rsidR="001948C1" w:rsidRPr="00A0677E">
        <w:rPr>
          <w:rFonts w:cs="Arial"/>
        </w:rPr>
        <w:t>approximately 30 per cent, which is substantially less than for either provincial or federal elections. Th</w:t>
      </w:r>
      <w:r w:rsidR="00FF3273">
        <w:rPr>
          <w:rFonts w:cs="Arial"/>
        </w:rPr>
        <w:t>is</w:t>
      </w:r>
      <w:r w:rsidR="001948C1" w:rsidRPr="00A0677E">
        <w:rPr>
          <w:rFonts w:cs="Arial"/>
        </w:rPr>
        <w:t xml:space="preserve"> is perhaps </w:t>
      </w:r>
      <w:r w:rsidR="00FF3273">
        <w:rPr>
          <w:rFonts w:cs="Arial"/>
        </w:rPr>
        <w:t xml:space="preserve">a </w:t>
      </w:r>
      <w:r w:rsidR="001948C1" w:rsidRPr="00A0677E">
        <w:rPr>
          <w:rFonts w:cs="Arial"/>
        </w:rPr>
        <w:t xml:space="preserve">no more telling conclusion </w:t>
      </w:r>
      <w:r w:rsidR="00FF3273">
        <w:rPr>
          <w:rFonts w:cs="Arial"/>
        </w:rPr>
        <w:t xml:space="preserve">of </w:t>
      </w:r>
      <w:r w:rsidR="001948C1" w:rsidRPr="00A0677E">
        <w:rPr>
          <w:rFonts w:cs="Arial"/>
        </w:rPr>
        <w:t xml:space="preserve">continued municipal disengagement of British Columbians despite more than </w:t>
      </w:r>
      <w:r w:rsidR="00FF3273">
        <w:rPr>
          <w:rFonts w:cs="Arial"/>
        </w:rPr>
        <w:t>two</w:t>
      </w:r>
      <w:r w:rsidR="001948C1" w:rsidRPr="00A0677E">
        <w:rPr>
          <w:rFonts w:cs="Arial"/>
        </w:rPr>
        <w:t xml:space="preserve"> decade</w:t>
      </w:r>
      <w:r w:rsidR="00FF3273">
        <w:rPr>
          <w:rFonts w:cs="Arial"/>
        </w:rPr>
        <w:t>s</w:t>
      </w:r>
      <w:r w:rsidR="001948C1" w:rsidRPr="00A0677E">
        <w:rPr>
          <w:rFonts w:cs="Arial"/>
        </w:rPr>
        <w:t xml:space="preserve"> of continuous local legislative reform efforts. Only real democratic reforms will begin to alter this </w:t>
      </w:r>
      <w:r w:rsidR="00FF3273">
        <w:rPr>
          <w:rFonts w:cs="Arial"/>
        </w:rPr>
        <w:t xml:space="preserve">local </w:t>
      </w:r>
      <w:r w:rsidR="001948C1" w:rsidRPr="00A0677E">
        <w:rPr>
          <w:rFonts w:cs="Arial"/>
        </w:rPr>
        <w:t>democratic deficit.</w:t>
      </w:r>
      <w:r w:rsidR="001948C1" w:rsidRPr="00A40CCB">
        <w:rPr>
          <w:rFonts w:cs="Arial"/>
        </w:rPr>
        <w:t xml:space="preserve"> </w:t>
      </w:r>
      <w:r w:rsidR="00FF3273">
        <w:rPr>
          <w:rFonts w:cs="Arial"/>
        </w:rPr>
        <w:t>To date, no British Columbia government has seemed prepared to grasp that political reform nettle, Until one does, real local democracy will remain nothing more than an ideal</w:t>
      </w:r>
      <w:r w:rsidR="001948C1" w:rsidRPr="00A40CCB">
        <w:rPr>
          <w:rFonts w:cs="Arial"/>
        </w:rPr>
        <w:t>.</w:t>
      </w:r>
    </w:p>
    <w:p w:rsidR="00F92723" w:rsidRDefault="001948C1" w:rsidP="00016E6B">
      <w:pPr>
        <w:pStyle w:val="Heading1"/>
        <w:jc w:val="both"/>
        <w:rPr>
          <w:rFonts w:ascii="Arial" w:hAnsi="Arial" w:cs="Arial"/>
        </w:rPr>
      </w:pPr>
      <w:bookmarkStart w:id="8" w:name="_Toc15729521"/>
      <w:r w:rsidRPr="00A0677E">
        <w:rPr>
          <w:rFonts w:ascii="Arial" w:hAnsi="Arial" w:cs="Arial"/>
        </w:rPr>
        <w:t xml:space="preserve">Appendix I: Legislation of Relevance to Municipal Government, </w:t>
      </w:r>
    </w:p>
    <w:p w:rsidR="001948C1" w:rsidRPr="00A0677E" w:rsidRDefault="001948C1" w:rsidP="00016E6B">
      <w:pPr>
        <w:pStyle w:val="Heading1"/>
        <w:jc w:val="both"/>
        <w:rPr>
          <w:rFonts w:ascii="Arial" w:hAnsi="Arial" w:cs="Arial"/>
        </w:rPr>
      </w:pPr>
      <w:r w:rsidRPr="00A0677E">
        <w:rPr>
          <w:rFonts w:ascii="Arial" w:hAnsi="Arial" w:cs="Arial"/>
        </w:rPr>
        <w:t>199</w:t>
      </w:r>
      <w:r w:rsidR="00F92723">
        <w:rPr>
          <w:rFonts w:ascii="Arial" w:hAnsi="Arial" w:cs="Arial"/>
        </w:rPr>
        <w:t>1-2011</w:t>
      </w:r>
      <w:bookmarkEnd w:id="8"/>
    </w:p>
    <w:p w:rsidR="001948C1" w:rsidRPr="00A0677E" w:rsidRDefault="001948C1" w:rsidP="00016E6B">
      <w:pPr>
        <w:spacing w:line="480" w:lineRule="auto"/>
        <w:jc w:val="both"/>
        <w:rPr>
          <w:rFonts w:cs="Arial"/>
          <w:lang w:val="en-GB"/>
        </w:rPr>
      </w:pP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8"/>
        <w:gridCol w:w="720"/>
        <w:gridCol w:w="8010"/>
      </w:tblGrid>
      <w:tr w:rsidR="001948C1" w:rsidRPr="00A0677E" w:rsidTr="00281652">
        <w:tc>
          <w:tcPr>
            <w:tcW w:w="9648" w:type="dxa"/>
            <w:gridSpan w:val="3"/>
            <w:tcBorders>
              <w:top w:val="single" w:sz="6" w:space="0" w:color="auto"/>
              <w:left w:val="single" w:sz="6" w:space="0" w:color="auto"/>
              <w:bottom w:val="single" w:sz="6" w:space="0" w:color="auto"/>
              <w:right w:val="single" w:sz="6" w:space="0" w:color="auto"/>
            </w:tcBorders>
            <w:shd w:val="clear" w:color="auto" w:fill="000000"/>
          </w:tcPr>
          <w:p w:rsidR="001948C1" w:rsidRPr="00A0677E" w:rsidRDefault="001948C1" w:rsidP="00016E6B">
            <w:pPr>
              <w:spacing w:line="480" w:lineRule="auto"/>
              <w:jc w:val="both"/>
              <w:rPr>
                <w:rFonts w:cs="Arial"/>
                <w:b/>
                <w:sz w:val="20"/>
              </w:rPr>
            </w:pPr>
            <w:r w:rsidRPr="00A0677E">
              <w:rPr>
                <w:rFonts w:cs="Arial"/>
                <w:b/>
                <w:sz w:val="20"/>
              </w:rPr>
              <w:t>Harcourt (NDP)</w:t>
            </w:r>
            <w:r>
              <w:rPr>
                <w:rFonts w:cs="Arial"/>
                <w:b/>
                <w:sz w:val="20"/>
              </w:rPr>
              <w:t xml:space="preserve">                  [Nov.5, 1991 – Feb.22, 1996]</w:t>
            </w:r>
          </w:p>
        </w:tc>
      </w:tr>
      <w:tr w:rsidR="001948C1" w:rsidRPr="00A0677E" w:rsidTr="00281652">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b/>
                <w:sz w:val="20"/>
              </w:rPr>
            </w:pPr>
            <w:r w:rsidRPr="00A0677E">
              <w:rPr>
                <w:rFonts w:cs="Arial"/>
                <w:b/>
                <w:sz w:val="20"/>
              </w:rPr>
              <w:t>Year</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b/>
                <w:sz w:val="20"/>
              </w:rPr>
            </w:pPr>
            <w:r w:rsidRPr="00A0677E">
              <w:rPr>
                <w:rFonts w:cs="Arial"/>
                <w:b/>
                <w:sz w:val="20"/>
              </w:rPr>
              <w:t>Bill</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b/>
                <w:sz w:val="20"/>
              </w:rPr>
            </w:pPr>
            <w:r w:rsidRPr="00A0677E">
              <w:rPr>
                <w:rFonts w:cs="Arial"/>
                <w:b/>
                <w:sz w:val="20"/>
              </w:rPr>
              <w:t>Legislation</w:t>
            </w:r>
          </w:p>
        </w:tc>
      </w:tr>
      <w:tr w:rsidR="001948C1" w:rsidRPr="00A0677E" w:rsidTr="00281652">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pStyle w:val="FootnoteText"/>
              <w:spacing w:line="480" w:lineRule="auto"/>
              <w:jc w:val="both"/>
              <w:rPr>
                <w:rFonts w:cs="Arial"/>
              </w:rPr>
            </w:pPr>
            <w:r w:rsidRPr="00A0677E">
              <w:rPr>
                <w:rFonts w:cs="Arial"/>
              </w:rPr>
              <w:t>1992</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Ministry of Municipal Affairs, Recreation and Housing Statutes Amendment Act, 1992*</w:t>
            </w:r>
          </w:p>
        </w:tc>
      </w:tr>
      <w:tr w:rsidR="001948C1" w:rsidRPr="00A0677E" w:rsidTr="00281652">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1992</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25</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Property Purchase Tax Amendment Act, 1992*</w:t>
            </w:r>
          </w:p>
        </w:tc>
      </w:tr>
      <w:tr w:rsidR="001948C1" w:rsidRPr="00A0677E" w:rsidTr="00281652">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1992</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28</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Municipal Finance Authority Amendment Act, 1992*</w:t>
            </w:r>
          </w:p>
        </w:tc>
      </w:tr>
      <w:tr w:rsidR="001948C1" w:rsidRPr="00A0677E" w:rsidTr="00281652">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1992</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45</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Statute Revision Miscellaneous Amendment Act, 1992</w:t>
            </w:r>
          </w:p>
        </w:tc>
      </w:tr>
      <w:tr w:rsidR="001948C1" w:rsidRPr="00A0677E" w:rsidTr="00281652">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1992</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48</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Municipal Affairs, Recreation and Housing Statutes Amendment Act (No. 2), 1992*</w:t>
            </w:r>
          </w:p>
        </w:tc>
      </w:tr>
      <w:tr w:rsidR="001948C1" w:rsidRPr="00A0677E" w:rsidTr="00281652">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1992</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66</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Assessment and Property Tax Reform Act, 1992*</w:t>
            </w:r>
          </w:p>
        </w:tc>
      </w:tr>
      <w:tr w:rsidR="001948C1" w:rsidRPr="00A0677E" w:rsidTr="00281652">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1992</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77</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Municipal Amendment Act (No. 2), 1992*</w:t>
            </w:r>
          </w:p>
        </w:tc>
      </w:tr>
      <w:tr w:rsidR="001948C1" w:rsidRPr="00A0677E" w:rsidTr="00281652">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1992</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81</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Miscellaneous Statutes Amendment Act, 1992</w:t>
            </w:r>
          </w:p>
        </w:tc>
      </w:tr>
      <w:tr w:rsidR="001948C1" w:rsidRPr="00A0677E" w:rsidTr="00281652">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1992</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84</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Labour Relations Code</w:t>
            </w:r>
          </w:p>
        </w:tc>
      </w:tr>
      <w:tr w:rsidR="001948C1" w:rsidRPr="00A0677E" w:rsidTr="00281652">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1993</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12</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Municipalities Enabling and Validating (No. 2) Amendment Act, 1993*</w:t>
            </w:r>
          </w:p>
        </w:tc>
      </w:tr>
      <w:tr w:rsidR="001948C1" w:rsidRPr="00A0677E" w:rsidTr="00281652">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1993</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School Amendment Act, 1993*</w:t>
            </w:r>
          </w:p>
        </w:tc>
      </w:tr>
      <w:tr w:rsidR="001948C1" w:rsidRPr="00A0677E" w:rsidTr="00281652">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lastRenderedPageBreak/>
              <w:t>1993</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26</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Waste Management Amendment Act, 1993*</w:t>
            </w:r>
          </w:p>
        </w:tc>
      </w:tr>
      <w:tr w:rsidR="001948C1" w:rsidRPr="00A0677E" w:rsidTr="00281652">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1993</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35</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Local Elections Reform Act, 1993*</w:t>
            </w:r>
          </w:p>
        </w:tc>
      </w:tr>
      <w:tr w:rsidR="001948C1" w:rsidRPr="00A0677E" w:rsidTr="00281652">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1993</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38</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Emergency Program Act</w:t>
            </w:r>
          </w:p>
        </w:tc>
      </w:tr>
      <w:tr w:rsidR="001948C1" w:rsidRPr="00A0677E" w:rsidTr="00281652">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1993</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42</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Cabinet Appeals Abolition Act</w:t>
            </w:r>
          </w:p>
        </w:tc>
      </w:tr>
      <w:tr w:rsidR="001948C1" w:rsidRPr="00A0677E" w:rsidTr="00281652">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1993</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43</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Municipalities Enabling and Validating (No. 2) Amendment Act (No.2), 1993*</w:t>
            </w:r>
          </w:p>
        </w:tc>
      </w:tr>
      <w:tr w:rsidR="001948C1" w:rsidRPr="00A0677E" w:rsidTr="00281652">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1993</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57</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Municipal Affairs Recreation and Housing Statutes Amendment Act, 1993*</w:t>
            </w:r>
          </w:p>
        </w:tc>
      </w:tr>
      <w:tr w:rsidR="001948C1" w:rsidRPr="00A0677E" w:rsidTr="00281652">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1993</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58</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Municipal Affairs Recreation and Housing Statutes Amendment Act (2), 1993*</w:t>
            </w:r>
          </w:p>
        </w:tc>
      </w:tr>
      <w:tr w:rsidR="001948C1" w:rsidRPr="00A0677E" w:rsidTr="00281652">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1993</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73</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Land Title Amendment Act, 1993*</w:t>
            </w:r>
          </w:p>
        </w:tc>
      </w:tr>
      <w:tr w:rsidR="001948C1" w:rsidRPr="00A0677E" w:rsidTr="00281652">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1994</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12</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Library Act*</w:t>
            </w:r>
          </w:p>
        </w:tc>
      </w:tr>
      <w:tr w:rsidR="001948C1" w:rsidRPr="00A0677E" w:rsidTr="00281652">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1994</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Local Government Grants Act*</w:t>
            </w:r>
          </w:p>
        </w:tc>
      </w:tr>
      <w:tr w:rsidR="001948C1" w:rsidRPr="00A0677E" w:rsidTr="00281652">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1994</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21</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Heritage Conservation Statutes Amendment Act, 1994</w:t>
            </w:r>
          </w:p>
        </w:tc>
      </w:tr>
      <w:tr w:rsidR="001948C1" w:rsidRPr="00A0677E" w:rsidTr="00281652">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1994</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25</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Municipal Affairs Statutes Amendment Act, 1994*</w:t>
            </w:r>
          </w:p>
        </w:tc>
      </w:tr>
      <w:tr w:rsidR="001948C1" w:rsidRPr="00A0677E" w:rsidTr="00281652">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1994</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30</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Agricultural Land Commission Amendment Act, 1994</w:t>
            </w:r>
          </w:p>
        </w:tc>
      </w:tr>
      <w:tr w:rsidR="001948C1" w:rsidRPr="00A0677E" w:rsidTr="00281652">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1994</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31</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Municipal Amendment Act, 1994*</w:t>
            </w:r>
          </w:p>
        </w:tc>
      </w:tr>
      <w:tr w:rsidR="001948C1" w:rsidRPr="00A0677E" w:rsidTr="00281652">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1994</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37</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Skills Development and Fair Wage Act</w:t>
            </w:r>
          </w:p>
        </w:tc>
      </w:tr>
      <w:tr w:rsidR="001948C1" w:rsidRPr="00A0677E" w:rsidTr="00281652">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1994</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49</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Attorney General Statutes Amendment Act, 1994</w:t>
            </w:r>
          </w:p>
        </w:tc>
      </w:tr>
      <w:tr w:rsidR="001948C1" w:rsidRPr="00A0677E" w:rsidTr="00281652">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1994</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56</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Forest Land Reserve Act</w:t>
            </w:r>
          </w:p>
        </w:tc>
      </w:tr>
      <w:tr w:rsidR="001948C1" w:rsidRPr="00A0677E" w:rsidTr="00281652">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1995</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10</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Mountain Resort Association Act</w:t>
            </w:r>
          </w:p>
        </w:tc>
      </w:tr>
      <w:tr w:rsidR="001948C1" w:rsidRPr="00A0677E" w:rsidTr="00281652">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1995</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11</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Growth Strategies Statutes Amendment Act, 1995*</w:t>
            </w:r>
          </w:p>
        </w:tc>
      </w:tr>
      <w:tr w:rsidR="001948C1" w:rsidRPr="00A0677E" w:rsidTr="00281652">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1995</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22</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Farm Practices (Right to Farm) Act</w:t>
            </w:r>
          </w:p>
        </w:tc>
      </w:tr>
      <w:tr w:rsidR="001948C1" w:rsidRPr="00A0677E" w:rsidTr="00281652">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1995</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24</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Miscellaneous Statutes Amendment Act (No. 2), 1995</w:t>
            </w:r>
          </w:p>
        </w:tc>
      </w:tr>
      <w:tr w:rsidR="001948C1" w:rsidRPr="00A0677E" w:rsidTr="00281652">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1995</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29</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Employment Standards Act</w:t>
            </w:r>
          </w:p>
        </w:tc>
      </w:tr>
      <w:tr w:rsidR="001948C1" w:rsidRPr="00A0677E" w:rsidTr="00281652">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1995</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31</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Municipal Affairs Statutes Amendment Act, 1995*</w:t>
            </w:r>
          </w:p>
        </w:tc>
      </w:tr>
      <w:tr w:rsidR="001948C1" w:rsidRPr="00A0677E" w:rsidTr="00281652">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1995</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43</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School Sites Acquisition Statutes Amendment Act, 1995*</w:t>
            </w:r>
          </w:p>
        </w:tc>
      </w:tr>
      <w:tr w:rsidR="001948C1" w:rsidRPr="00A0677E" w:rsidTr="00281652">
        <w:tc>
          <w:tcPr>
            <w:tcW w:w="918" w:type="dxa"/>
            <w:tcBorders>
              <w:top w:val="single" w:sz="6" w:space="0" w:color="auto"/>
              <w:left w:val="single" w:sz="6" w:space="0" w:color="auto"/>
              <w:bottom w:val="double" w:sz="12"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1995</w:t>
            </w:r>
          </w:p>
        </w:tc>
        <w:tc>
          <w:tcPr>
            <w:tcW w:w="720" w:type="dxa"/>
            <w:tcBorders>
              <w:top w:val="single" w:sz="6" w:space="0" w:color="auto"/>
              <w:left w:val="single" w:sz="6" w:space="0" w:color="auto"/>
              <w:bottom w:val="double" w:sz="12"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55</w:t>
            </w:r>
          </w:p>
        </w:tc>
        <w:tc>
          <w:tcPr>
            <w:tcW w:w="8010" w:type="dxa"/>
            <w:tcBorders>
              <w:top w:val="single" w:sz="6" w:space="0" w:color="auto"/>
              <w:left w:val="single" w:sz="6" w:space="0" w:color="auto"/>
              <w:bottom w:val="double" w:sz="12"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Miscellaneous Statutes Amendment Act (No.3), 1995</w:t>
            </w:r>
          </w:p>
        </w:tc>
      </w:tr>
    </w:tbl>
    <w:p w:rsidR="001948C1" w:rsidRPr="00A0677E" w:rsidRDefault="001948C1" w:rsidP="00016E6B">
      <w:pPr>
        <w:spacing w:line="480" w:lineRule="auto"/>
        <w:jc w:val="both"/>
        <w:rPr>
          <w:rFonts w:cs="Arial"/>
        </w:rPr>
      </w:pPr>
      <w:r w:rsidRPr="00A0677E">
        <w:rPr>
          <w:rFonts w:cs="Arial"/>
        </w:rPr>
        <w:br w:type="page"/>
      </w:r>
    </w:p>
    <w:tbl>
      <w:tblPr>
        <w:tblW w:w="256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18"/>
        <w:gridCol w:w="720"/>
        <w:gridCol w:w="8010"/>
        <w:gridCol w:w="8010"/>
        <w:gridCol w:w="8010"/>
      </w:tblGrid>
      <w:tr w:rsidR="001948C1" w:rsidRPr="00A0677E" w:rsidTr="00281652">
        <w:tc>
          <w:tcPr>
            <w:tcW w:w="918" w:type="dxa"/>
            <w:tcBorders>
              <w:top w:val="double" w:sz="12" w:space="0" w:color="auto"/>
              <w:left w:val="single" w:sz="6" w:space="0" w:color="auto"/>
              <w:bottom w:val="single" w:sz="6" w:space="0" w:color="auto"/>
              <w:right w:val="single" w:sz="6" w:space="0" w:color="auto"/>
            </w:tcBorders>
            <w:shd w:val="clear" w:color="auto" w:fill="000000"/>
          </w:tcPr>
          <w:p w:rsidR="001948C1" w:rsidRPr="00A0677E" w:rsidRDefault="001948C1" w:rsidP="00016E6B">
            <w:pPr>
              <w:spacing w:line="480" w:lineRule="auto"/>
              <w:jc w:val="both"/>
              <w:rPr>
                <w:rFonts w:cs="Arial"/>
                <w:b/>
                <w:sz w:val="20"/>
              </w:rPr>
            </w:pPr>
          </w:p>
        </w:tc>
        <w:tc>
          <w:tcPr>
            <w:tcW w:w="720" w:type="dxa"/>
            <w:tcBorders>
              <w:top w:val="double" w:sz="12" w:space="0" w:color="auto"/>
              <w:left w:val="single" w:sz="6" w:space="0" w:color="auto"/>
              <w:bottom w:val="single" w:sz="6" w:space="0" w:color="auto"/>
              <w:right w:val="single" w:sz="6" w:space="0" w:color="auto"/>
            </w:tcBorders>
            <w:shd w:val="clear" w:color="auto" w:fill="000000"/>
          </w:tcPr>
          <w:p w:rsidR="001948C1" w:rsidRPr="00A0677E" w:rsidRDefault="001948C1" w:rsidP="00016E6B">
            <w:pPr>
              <w:spacing w:line="480" w:lineRule="auto"/>
              <w:jc w:val="both"/>
              <w:rPr>
                <w:rFonts w:cs="Arial"/>
                <w:b/>
                <w:sz w:val="20"/>
              </w:rPr>
            </w:pPr>
            <w:r>
              <w:rPr>
                <w:rFonts w:cs="Arial"/>
                <w:b/>
                <w:sz w:val="20"/>
              </w:rPr>
              <w:t xml:space="preserve">Clark </w:t>
            </w:r>
          </w:p>
        </w:tc>
        <w:tc>
          <w:tcPr>
            <w:tcW w:w="8010" w:type="dxa"/>
            <w:tcBorders>
              <w:top w:val="double" w:sz="12" w:space="0" w:color="auto"/>
              <w:left w:val="single" w:sz="6" w:space="0" w:color="auto"/>
              <w:bottom w:val="single" w:sz="6" w:space="0" w:color="auto"/>
              <w:right w:val="single" w:sz="6" w:space="0" w:color="auto"/>
            </w:tcBorders>
            <w:shd w:val="clear" w:color="auto" w:fill="000000"/>
          </w:tcPr>
          <w:tbl>
            <w:tblPr>
              <w:tblW w:w="256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42"/>
              <w:gridCol w:w="1916"/>
              <w:gridCol w:w="21310"/>
            </w:tblGrid>
            <w:tr w:rsidR="001948C1" w:rsidRPr="00A0677E" w:rsidTr="00281652">
              <w:tc>
                <w:tcPr>
                  <w:tcW w:w="918" w:type="dxa"/>
                  <w:tcBorders>
                    <w:top w:val="double" w:sz="12" w:space="0" w:color="auto"/>
                    <w:left w:val="single" w:sz="6" w:space="0" w:color="auto"/>
                    <w:bottom w:val="single" w:sz="6" w:space="0" w:color="auto"/>
                    <w:right w:val="single" w:sz="6" w:space="0" w:color="auto"/>
                  </w:tcBorders>
                  <w:shd w:val="clear" w:color="auto" w:fill="000000"/>
                </w:tcPr>
                <w:p w:rsidR="001948C1" w:rsidRPr="00A0677E" w:rsidRDefault="001948C1" w:rsidP="00016E6B">
                  <w:pPr>
                    <w:spacing w:line="480" w:lineRule="auto"/>
                    <w:jc w:val="both"/>
                    <w:rPr>
                      <w:rFonts w:cs="Arial"/>
                      <w:b/>
                      <w:sz w:val="20"/>
                    </w:rPr>
                  </w:pPr>
                </w:p>
              </w:tc>
              <w:tc>
                <w:tcPr>
                  <w:tcW w:w="720" w:type="dxa"/>
                  <w:tcBorders>
                    <w:top w:val="double" w:sz="12" w:space="0" w:color="auto"/>
                    <w:left w:val="single" w:sz="6" w:space="0" w:color="auto"/>
                    <w:bottom w:val="single" w:sz="6" w:space="0" w:color="auto"/>
                    <w:right w:val="single" w:sz="6" w:space="0" w:color="auto"/>
                  </w:tcBorders>
                  <w:shd w:val="clear" w:color="auto" w:fill="000000"/>
                </w:tcPr>
                <w:p w:rsidR="001948C1" w:rsidRPr="00A0677E" w:rsidRDefault="001948C1" w:rsidP="00016E6B">
                  <w:pPr>
                    <w:spacing w:line="480" w:lineRule="auto"/>
                    <w:jc w:val="both"/>
                    <w:rPr>
                      <w:rFonts w:cs="Arial"/>
                      <w:b/>
                      <w:sz w:val="20"/>
                    </w:rPr>
                  </w:pPr>
                </w:p>
              </w:tc>
              <w:tc>
                <w:tcPr>
                  <w:tcW w:w="8010" w:type="dxa"/>
                  <w:tcBorders>
                    <w:top w:val="double" w:sz="12" w:space="0" w:color="auto"/>
                    <w:left w:val="single" w:sz="6" w:space="0" w:color="auto"/>
                    <w:bottom w:val="single" w:sz="6" w:space="0" w:color="auto"/>
                    <w:right w:val="single" w:sz="6" w:space="0" w:color="auto"/>
                  </w:tcBorders>
                  <w:shd w:val="clear" w:color="auto" w:fill="000000"/>
                </w:tcPr>
                <w:p w:rsidR="001948C1" w:rsidRDefault="001948C1" w:rsidP="00016E6B">
                  <w:pPr>
                    <w:spacing w:line="480" w:lineRule="auto"/>
                    <w:jc w:val="both"/>
                    <w:rPr>
                      <w:rFonts w:cs="Arial"/>
                      <w:b/>
                      <w:sz w:val="20"/>
                    </w:rPr>
                  </w:pPr>
                  <w:r>
                    <w:rPr>
                      <w:rFonts w:cs="Arial"/>
                      <w:b/>
                      <w:sz w:val="20"/>
                    </w:rPr>
                    <w:t xml:space="preserve">                   </w:t>
                  </w:r>
                  <w:r w:rsidRPr="00A0677E">
                    <w:rPr>
                      <w:rFonts w:cs="Arial"/>
                      <w:b/>
                      <w:sz w:val="20"/>
                    </w:rPr>
                    <w:t>Miller</w:t>
                  </w:r>
                  <w:r>
                    <w:rPr>
                      <w:rFonts w:cs="Arial"/>
                      <w:b/>
                      <w:sz w:val="20"/>
                    </w:rPr>
                    <w:t xml:space="preserve">  </w:t>
                  </w:r>
                  <w:r w:rsidRPr="00A0677E">
                    <w:rPr>
                      <w:rFonts w:cs="Arial"/>
                      <w:b/>
                      <w:sz w:val="20"/>
                    </w:rPr>
                    <w:t>/</w:t>
                  </w:r>
                  <w:r>
                    <w:rPr>
                      <w:rFonts w:cs="Arial"/>
                      <w:b/>
                      <w:sz w:val="20"/>
                    </w:rPr>
                    <w:t xml:space="preserve">                       </w:t>
                  </w:r>
                  <w:r w:rsidRPr="00A0677E">
                    <w:rPr>
                      <w:rFonts w:cs="Arial"/>
                      <w:b/>
                      <w:sz w:val="20"/>
                    </w:rPr>
                    <w:t>Dosanjh (NDP)</w:t>
                  </w:r>
                </w:p>
                <w:p w:rsidR="001948C1" w:rsidRPr="00A0677E" w:rsidRDefault="001948C1" w:rsidP="00016E6B">
                  <w:pPr>
                    <w:spacing w:line="480" w:lineRule="auto"/>
                    <w:jc w:val="both"/>
                    <w:rPr>
                      <w:rFonts w:cs="Arial"/>
                      <w:b/>
                      <w:sz w:val="20"/>
                    </w:rPr>
                  </w:pPr>
                  <w:r w:rsidRPr="008F4408">
                    <w:rPr>
                      <w:rFonts w:cs="Arial"/>
                      <w:b/>
                      <w:sz w:val="18"/>
                      <w:szCs w:val="18"/>
                    </w:rPr>
                    <w:t>[Feb.22, 1996-Aug.25,1999] / [Aug.25,1999-Feb.24, 2000] / [Feb.24,2000-June 5,</w:t>
                  </w:r>
                  <w:r>
                    <w:rPr>
                      <w:rFonts w:cs="Arial"/>
                      <w:b/>
                      <w:sz w:val="20"/>
                    </w:rPr>
                    <w:t xml:space="preserve"> </w:t>
                  </w:r>
                  <w:r w:rsidRPr="008F4408">
                    <w:rPr>
                      <w:rFonts w:cs="Arial"/>
                      <w:b/>
                      <w:sz w:val="18"/>
                      <w:szCs w:val="18"/>
                    </w:rPr>
                    <w:t>2001]</w:t>
                  </w:r>
                </w:p>
              </w:tc>
            </w:tr>
          </w:tbl>
          <w:p w:rsidR="001948C1" w:rsidRPr="00A0677E" w:rsidRDefault="001948C1" w:rsidP="00016E6B">
            <w:pPr>
              <w:spacing w:line="480" w:lineRule="auto"/>
              <w:jc w:val="both"/>
              <w:rPr>
                <w:rFonts w:cs="Arial"/>
                <w:b/>
                <w:sz w:val="20"/>
              </w:rPr>
            </w:pPr>
          </w:p>
        </w:tc>
        <w:tc>
          <w:tcPr>
            <w:tcW w:w="8010" w:type="dxa"/>
          </w:tcPr>
          <w:p w:rsidR="001948C1" w:rsidRPr="00A0677E" w:rsidRDefault="001948C1" w:rsidP="00016E6B">
            <w:pPr>
              <w:spacing w:line="480" w:lineRule="auto"/>
              <w:jc w:val="both"/>
              <w:rPr>
                <w:rFonts w:cs="Arial"/>
                <w:b/>
                <w:sz w:val="20"/>
              </w:rPr>
            </w:pPr>
          </w:p>
        </w:tc>
        <w:tc>
          <w:tcPr>
            <w:tcW w:w="8010" w:type="dxa"/>
          </w:tcPr>
          <w:p w:rsidR="001948C1" w:rsidRDefault="001948C1" w:rsidP="00016E6B">
            <w:pPr>
              <w:spacing w:line="480" w:lineRule="auto"/>
              <w:jc w:val="both"/>
              <w:rPr>
                <w:rFonts w:cs="Arial"/>
                <w:b/>
                <w:sz w:val="20"/>
              </w:rPr>
            </w:pPr>
            <w:r>
              <w:rPr>
                <w:rFonts w:cs="Arial"/>
                <w:b/>
                <w:sz w:val="20"/>
              </w:rPr>
              <w:t xml:space="preserve">                     </w:t>
            </w:r>
            <w:r w:rsidRPr="00A0677E">
              <w:rPr>
                <w:rFonts w:cs="Arial"/>
                <w:b/>
                <w:sz w:val="20"/>
              </w:rPr>
              <w:t>Clark</w:t>
            </w:r>
            <w:r>
              <w:rPr>
                <w:rFonts w:cs="Arial"/>
                <w:b/>
                <w:sz w:val="20"/>
              </w:rPr>
              <w:t xml:space="preserve">   </w:t>
            </w:r>
            <w:r w:rsidRPr="00A0677E">
              <w:rPr>
                <w:rFonts w:cs="Arial"/>
                <w:b/>
                <w:sz w:val="20"/>
              </w:rPr>
              <w:t>/</w:t>
            </w:r>
            <w:r>
              <w:rPr>
                <w:rFonts w:cs="Arial"/>
                <w:b/>
                <w:sz w:val="20"/>
              </w:rPr>
              <w:t xml:space="preserve">                    </w:t>
            </w:r>
            <w:r w:rsidRPr="00A0677E">
              <w:rPr>
                <w:rFonts w:cs="Arial"/>
                <w:b/>
                <w:sz w:val="20"/>
              </w:rPr>
              <w:t>Miller</w:t>
            </w:r>
            <w:r>
              <w:rPr>
                <w:rFonts w:cs="Arial"/>
                <w:b/>
                <w:sz w:val="20"/>
              </w:rPr>
              <w:t xml:space="preserve">  </w:t>
            </w:r>
            <w:r w:rsidRPr="00A0677E">
              <w:rPr>
                <w:rFonts w:cs="Arial"/>
                <w:b/>
                <w:sz w:val="20"/>
              </w:rPr>
              <w:t>/</w:t>
            </w:r>
            <w:r>
              <w:rPr>
                <w:rFonts w:cs="Arial"/>
                <w:b/>
                <w:sz w:val="20"/>
              </w:rPr>
              <w:t xml:space="preserve">                       </w:t>
            </w:r>
            <w:r w:rsidRPr="00A0677E">
              <w:rPr>
                <w:rFonts w:cs="Arial"/>
                <w:b/>
                <w:sz w:val="20"/>
              </w:rPr>
              <w:t>Dosanjh (NDP)</w:t>
            </w:r>
          </w:p>
          <w:p w:rsidR="001948C1" w:rsidRPr="00A0677E" w:rsidRDefault="001948C1" w:rsidP="00016E6B">
            <w:pPr>
              <w:spacing w:line="480" w:lineRule="auto"/>
              <w:jc w:val="both"/>
              <w:rPr>
                <w:rFonts w:cs="Arial"/>
                <w:b/>
                <w:sz w:val="20"/>
              </w:rPr>
            </w:pPr>
            <w:r w:rsidRPr="008F4408">
              <w:rPr>
                <w:rFonts w:cs="Arial"/>
                <w:b/>
                <w:sz w:val="18"/>
                <w:szCs w:val="18"/>
              </w:rPr>
              <w:t>[Feb.22, 1996-Aug.25,1999] / [Aug.25,1999-Feb.24, 2000] / [Feb.24,2000-June 5,</w:t>
            </w:r>
            <w:r>
              <w:rPr>
                <w:rFonts w:cs="Arial"/>
                <w:b/>
                <w:sz w:val="20"/>
              </w:rPr>
              <w:t xml:space="preserve"> </w:t>
            </w:r>
            <w:r w:rsidRPr="008F4408">
              <w:rPr>
                <w:rFonts w:cs="Arial"/>
                <w:b/>
                <w:sz w:val="18"/>
                <w:szCs w:val="18"/>
              </w:rPr>
              <w:t>2001]</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b/>
                <w:sz w:val="20"/>
              </w:rPr>
            </w:pPr>
            <w:r w:rsidRPr="00A0677E">
              <w:rPr>
                <w:rFonts w:cs="Arial"/>
                <w:b/>
                <w:sz w:val="20"/>
              </w:rPr>
              <w:t>Year</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b/>
                <w:sz w:val="20"/>
              </w:rPr>
            </w:pPr>
            <w:r w:rsidRPr="00A0677E">
              <w:rPr>
                <w:rFonts w:cs="Arial"/>
                <w:b/>
                <w:sz w:val="20"/>
              </w:rPr>
              <w:t>Bill</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b/>
                <w:sz w:val="20"/>
              </w:rPr>
            </w:pPr>
            <w:r w:rsidRPr="00A0677E">
              <w:rPr>
                <w:rFonts w:cs="Arial"/>
                <w:b/>
                <w:sz w:val="20"/>
              </w:rPr>
              <w:t>Legislation</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1996</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Budget Measures Implementation Act, 1996</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1996</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8</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Municipal Affairs and Housing Statutes Amendment Act, 1996*</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1996</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14</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BC Benefits (Income Assistance)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1997</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Budget Measures Implementation Act, 1997</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1997</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11</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Agriculture, Fisheries and Food Statutes Amendment Act, 1997</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1997</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16</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Police Amendment Act, 1997</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1997</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17</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Capital Region Water Supply and Sooke Hills Protection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1997</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22</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Miscellaneous Statutes Amendment Act, 1997</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1997</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26</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Local Government Statutes Amendment Act, 1997*</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1997</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30</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Technical University of British Columbia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1997</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35</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Municipalities Enabling and Validating (No.2) Amendment Act, 1997*</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1997</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45</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School Amendment Act, 1997</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1997</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46</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Local Government Statutes Amendment Act (No. 2), 1997*</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1998</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10</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Miscellaneous Statutes Amendment Act, 1998</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1998</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21</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Assessment Amendment Act, 1998</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1998</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31</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Local Government Statutes Amendment Act, 1998*</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1998</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35</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Education Statutes Amendment Act, 1998*</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1998</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36</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Greater Vancouver Transportation Authority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1998</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47</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Strata Property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1998</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50</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Miscellaneous Statutes Amendment Act (No. 3), 1998</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1999</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51</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Nisga’a Final Agreement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1999</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53</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Pension Benefits Standards Amendment Act, 1999</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1999</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62</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Miscellaneous Statutes Amendment Act, 1999</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1999</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65</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Labour Statutes Amendment Act, 1999</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lastRenderedPageBreak/>
              <w:t>1999</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66</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Attorney General Statutes Amendment Act, 1999</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1999</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74</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Miscellaneous Statutes Amendment Act (No. 2), 1999</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1999</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79</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Land Reserve Commission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1999</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88</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Local Government Statutes Amendment Act, 1999*</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1999</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91</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Unclaimed Property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2000</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12</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Regulatory Streamlining Miscellaneous Statutes Amendment Act, 2000</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2000</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14</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Local Government Statutes Amendment Act, 2000*</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2000</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24</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Miscellaneous Statutes Amendment Act (No.2), 2000</w:t>
            </w:r>
          </w:p>
        </w:tc>
      </w:tr>
      <w:tr w:rsidR="001948C1" w:rsidRPr="00A0677E" w:rsidTr="00281652">
        <w:trPr>
          <w:gridAfter w:val="2"/>
          <w:wAfter w:w="16020" w:type="dxa"/>
        </w:trPr>
        <w:tc>
          <w:tcPr>
            <w:tcW w:w="918" w:type="dxa"/>
            <w:tcBorders>
              <w:top w:val="single" w:sz="6" w:space="0" w:color="auto"/>
              <w:left w:val="single" w:sz="6" w:space="0" w:color="auto"/>
              <w:bottom w:val="double" w:sz="12"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2001</w:t>
            </w:r>
          </w:p>
        </w:tc>
        <w:tc>
          <w:tcPr>
            <w:tcW w:w="720" w:type="dxa"/>
            <w:tcBorders>
              <w:top w:val="single" w:sz="6" w:space="0" w:color="auto"/>
              <w:left w:val="single" w:sz="6" w:space="0" w:color="auto"/>
              <w:bottom w:val="double" w:sz="12"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w:t>
            </w:r>
          </w:p>
        </w:tc>
        <w:tc>
          <w:tcPr>
            <w:tcW w:w="8010" w:type="dxa"/>
            <w:tcBorders>
              <w:top w:val="single" w:sz="6" w:space="0" w:color="auto"/>
              <w:left w:val="single" w:sz="6" w:space="0" w:color="auto"/>
              <w:bottom w:val="double" w:sz="12"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Drinking Water Protection Act</w:t>
            </w:r>
          </w:p>
        </w:tc>
      </w:tr>
      <w:tr w:rsidR="001948C1" w:rsidRPr="00A0677E" w:rsidTr="00281652">
        <w:trPr>
          <w:gridAfter w:val="2"/>
          <w:wAfter w:w="16020" w:type="dxa"/>
        </w:trPr>
        <w:tc>
          <w:tcPr>
            <w:tcW w:w="918" w:type="dxa"/>
            <w:tcBorders>
              <w:top w:val="double" w:sz="12" w:space="0" w:color="auto"/>
              <w:left w:val="single" w:sz="6" w:space="0" w:color="auto"/>
              <w:bottom w:val="single" w:sz="6" w:space="0" w:color="auto"/>
              <w:right w:val="single" w:sz="6" w:space="0" w:color="auto"/>
            </w:tcBorders>
            <w:shd w:val="clear" w:color="auto" w:fill="000000"/>
          </w:tcPr>
          <w:p w:rsidR="001948C1" w:rsidRPr="00A0677E" w:rsidRDefault="001948C1" w:rsidP="00016E6B">
            <w:pPr>
              <w:spacing w:line="480" w:lineRule="auto"/>
              <w:jc w:val="both"/>
              <w:rPr>
                <w:rFonts w:cs="Arial"/>
                <w:b/>
                <w:sz w:val="20"/>
              </w:rPr>
            </w:pPr>
            <w:r w:rsidRPr="00A0677E">
              <w:rPr>
                <w:rFonts w:cs="Arial"/>
              </w:rPr>
              <w:br w:type="page"/>
            </w:r>
          </w:p>
        </w:tc>
        <w:tc>
          <w:tcPr>
            <w:tcW w:w="720" w:type="dxa"/>
            <w:tcBorders>
              <w:top w:val="double" w:sz="12" w:space="0" w:color="auto"/>
              <w:left w:val="single" w:sz="6" w:space="0" w:color="auto"/>
              <w:bottom w:val="single" w:sz="6" w:space="0" w:color="auto"/>
              <w:right w:val="single" w:sz="6" w:space="0" w:color="auto"/>
            </w:tcBorders>
            <w:shd w:val="clear" w:color="auto" w:fill="000000"/>
          </w:tcPr>
          <w:p w:rsidR="001948C1" w:rsidRPr="00A0677E" w:rsidRDefault="001948C1" w:rsidP="00016E6B">
            <w:pPr>
              <w:spacing w:line="480" w:lineRule="auto"/>
              <w:jc w:val="both"/>
              <w:rPr>
                <w:rFonts w:cs="Arial"/>
                <w:b/>
                <w:sz w:val="20"/>
              </w:rPr>
            </w:pPr>
          </w:p>
        </w:tc>
        <w:tc>
          <w:tcPr>
            <w:tcW w:w="8010" w:type="dxa"/>
            <w:tcBorders>
              <w:top w:val="double" w:sz="12" w:space="0" w:color="auto"/>
              <w:left w:val="single" w:sz="6" w:space="0" w:color="auto"/>
              <w:bottom w:val="single" w:sz="6" w:space="0" w:color="auto"/>
              <w:right w:val="single" w:sz="6" w:space="0" w:color="auto"/>
            </w:tcBorders>
            <w:shd w:val="clear" w:color="auto" w:fill="000000"/>
          </w:tcPr>
          <w:p w:rsidR="001948C1" w:rsidRPr="00A0677E" w:rsidRDefault="001948C1" w:rsidP="00016E6B">
            <w:pPr>
              <w:spacing w:line="480" w:lineRule="auto"/>
              <w:jc w:val="both"/>
              <w:rPr>
                <w:rFonts w:cs="Arial"/>
                <w:b/>
                <w:sz w:val="20"/>
              </w:rPr>
            </w:pPr>
            <w:r w:rsidRPr="00A0677E">
              <w:rPr>
                <w:rFonts w:cs="Arial"/>
                <w:b/>
                <w:sz w:val="20"/>
              </w:rPr>
              <w:t>Campbell (Liberal)               [ Sept.15, 2001 - March 14, 2011]</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b/>
                <w:sz w:val="20"/>
              </w:rPr>
            </w:pPr>
            <w:r w:rsidRPr="00A0677E">
              <w:rPr>
                <w:rFonts w:cs="Arial"/>
                <w:b/>
                <w:sz w:val="20"/>
              </w:rPr>
              <w:t>Year</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b/>
                <w:sz w:val="20"/>
              </w:rPr>
            </w:pPr>
            <w:r w:rsidRPr="00A0677E">
              <w:rPr>
                <w:rFonts w:cs="Arial"/>
                <w:b/>
                <w:sz w:val="20"/>
              </w:rPr>
              <w:t>Bill</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b/>
                <w:sz w:val="20"/>
              </w:rPr>
            </w:pPr>
            <w:r w:rsidRPr="00A0677E">
              <w:rPr>
                <w:rFonts w:cs="Arial"/>
                <w:b/>
                <w:sz w:val="20"/>
              </w:rPr>
              <w:t>Legislation</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2001</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25</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Municipalities Enabling and Validating Act (No. 3)*</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2002</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8</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Deregulation Statutes Amendment Act, 2002</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2002</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11</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Miscellaneous Statutes Amendment Act, 2002</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2002</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21</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Agricultural Land Commission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2002</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30</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Trustee Investment Statutes Amendment Act, 2002</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2002</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32</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Waste Management Amendment Act, 2002*</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2002</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36</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Energy and Mines Statutes Amendment Act, 2002</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2002</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37</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Food Safety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2002</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38</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Environmental Assessment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2002</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50</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Advanced Education Statutes Amendment Act, 2002*</w:t>
            </w:r>
          </w:p>
        </w:tc>
      </w:tr>
      <w:tr w:rsidR="001948C1" w:rsidRPr="00A0677E" w:rsidTr="00281652">
        <w:trPr>
          <w:gridAfter w:val="2"/>
          <w:wAfter w:w="16020" w:type="dxa"/>
          <w:trHeight w:val="255"/>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2002</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54</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Miscellaneous Statutes Amendment Act (No. 2), 2002</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2002</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62</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Miscellaneous Statutes Amendment Act (No. 3), 2002</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2002</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70</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Residential Tenancy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2002</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73</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Community Care and Assisted Living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2003</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6</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Budget Measures Implementation Act, 2003</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2003</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14</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Community Charter*</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lastRenderedPageBreak/>
              <w:t>2003</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15</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Unclaimed Property Amendment Act, 2003</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2003</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18</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Coastal Ferry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2003</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22</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Community, Aboriginal and Women’s Services Statutes Amendment Act, 2003</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2003</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48</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Employment Standards Amendment Act, 2002</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2003</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55</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Water, Land and Air Protection Statutes Amendment Act, 2003</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2003</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56</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Flood Hazard Statutes Amendment Act, 2003</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2003</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57</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Environmental Management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2003</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59</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Financial Administration Amendment Act, 2003</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2003</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60</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Business Corporations Amendment Act, 2003</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2003</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65</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Local Government Bylaw Notice Enforcement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2003</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68</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Administrative Tribunals Appointment and Administration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2003</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73</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Community Care and Assisted Living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2003</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75</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Significant Projects Streamlining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2003</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76</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Community Charter Transitional Provisions, Consequential Amendments &amp; Other Amendments Act, 2003*</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2003</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88</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Private Managed Forest Land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2003</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97</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 xml:space="preserve">Municipalities </w:t>
            </w:r>
            <w:r w:rsidR="00567784" w:rsidRPr="00A0677E">
              <w:rPr>
                <w:rFonts w:cs="Arial"/>
                <w:sz w:val="20"/>
              </w:rPr>
              <w:t>Enabling and</w:t>
            </w:r>
            <w:r w:rsidRPr="00A0677E">
              <w:rPr>
                <w:rFonts w:cs="Arial"/>
                <w:sz w:val="20"/>
              </w:rPr>
              <w:t xml:space="preserve"> Validating (No.3) Amendment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2004</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3</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Cremation, Internment and Funeral Services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2004</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8</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Ports Property Tax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2004</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12</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Education Statutes Amendment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2004</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16</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 xml:space="preserve">Water, Land and </w:t>
            </w:r>
            <w:r w:rsidR="00567784" w:rsidRPr="00A0677E">
              <w:rPr>
                <w:rFonts w:cs="Arial"/>
                <w:sz w:val="20"/>
              </w:rPr>
              <w:t>Air Protection</w:t>
            </w:r>
            <w:r w:rsidRPr="00A0677E">
              <w:rPr>
                <w:rFonts w:cs="Arial"/>
                <w:sz w:val="20"/>
              </w:rPr>
              <w:t xml:space="preserve"> </w:t>
            </w:r>
            <w:r w:rsidR="003B7455" w:rsidRPr="00A0677E">
              <w:rPr>
                <w:rFonts w:cs="Arial"/>
                <w:sz w:val="20"/>
              </w:rPr>
              <w:t>Statut</w:t>
            </w:r>
            <w:r w:rsidR="003B7455">
              <w:rPr>
                <w:rFonts w:cs="Arial"/>
                <w:sz w:val="20"/>
              </w:rPr>
              <w:t>e</w:t>
            </w:r>
            <w:r w:rsidR="003B7455" w:rsidRPr="00A0677E">
              <w:rPr>
                <w:rFonts w:cs="Arial"/>
                <w:sz w:val="20"/>
              </w:rPr>
              <w:t>s</w:t>
            </w:r>
            <w:r w:rsidRPr="00A0677E">
              <w:rPr>
                <w:rFonts w:cs="Arial"/>
                <w:sz w:val="20"/>
              </w:rPr>
              <w:t xml:space="preserve"> Amendment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2004</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17</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Land Survey Statutes Amendment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2004</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19</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Education Services Collective Agreement Amendment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2004</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27</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Agricultural Land Commission Amendment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2004</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31</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Nanaimo and South West Water Supply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2004</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36</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Community, Aboriginal and Women’s Services Statutes Amendment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2004</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41</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Real Estate Development Marketing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lastRenderedPageBreak/>
              <w:t>2004</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45</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3B7455" w:rsidP="00016E6B">
            <w:pPr>
              <w:spacing w:line="480" w:lineRule="auto"/>
              <w:jc w:val="both"/>
              <w:rPr>
                <w:rFonts w:cs="Arial"/>
                <w:sz w:val="20"/>
              </w:rPr>
            </w:pPr>
            <w:r w:rsidRPr="00A0677E">
              <w:rPr>
                <w:rFonts w:cs="Arial"/>
                <w:sz w:val="20"/>
              </w:rPr>
              <w:t>Community Living</w:t>
            </w:r>
            <w:r w:rsidR="001948C1" w:rsidRPr="00A0677E">
              <w:rPr>
                <w:rFonts w:cs="Arial"/>
                <w:sz w:val="20"/>
              </w:rPr>
              <w:t xml:space="preserve"> Authority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2004</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47</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Transportation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2004</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55</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Teaching Profession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2004</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59</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Northern Development Initiative Trust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2004</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67</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Expropriation Amendment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2004</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68</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Land Title and Survey Authority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2004</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70</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 xml:space="preserve">Property Transfer Tax Amendment Act </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2004</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71</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Safe Streets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2004</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72</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Trespass Amendment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2004</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75</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Transportation Services Amendment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2005</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5</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Civil Forfeiture</w:t>
            </w:r>
            <w:r>
              <w:rPr>
                <w:rFonts w:cs="Arial"/>
                <w:sz w:val="20"/>
              </w:rPr>
              <w:t xml:space="preserve"> </w:t>
            </w:r>
            <w:r w:rsidRPr="00A0677E">
              <w:rPr>
                <w:rFonts w:cs="Arial"/>
                <w:sz w:val="20"/>
              </w:rPr>
              <w:t>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2005</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9</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Greater Vancouver Transportation Authority Amendment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2006</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4</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 xml:space="preserve">Agriculture and Land Statutes Amendment Act </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2006</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10</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Community Services</w:t>
            </w:r>
            <w:r>
              <w:rPr>
                <w:rFonts w:cs="Arial"/>
                <w:sz w:val="20"/>
              </w:rPr>
              <w:t xml:space="preserve"> </w:t>
            </w:r>
            <w:r w:rsidRPr="00A0677E">
              <w:rPr>
                <w:rFonts w:cs="Arial"/>
                <w:sz w:val="20"/>
              </w:rPr>
              <w:t>Statutes Amendment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2006</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11</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New Relationship Trust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2006</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24</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 xml:space="preserve">Resort </w:t>
            </w:r>
            <w:r w:rsidR="003B7455" w:rsidRPr="00A0677E">
              <w:rPr>
                <w:rFonts w:cs="Arial"/>
                <w:sz w:val="20"/>
              </w:rPr>
              <w:t>Timber Administration</w:t>
            </w:r>
            <w:r w:rsidRPr="00A0677E">
              <w:rPr>
                <w:rFonts w:cs="Arial"/>
                <w:sz w:val="20"/>
              </w:rPr>
              <w:t xml:space="preserve">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2006</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27</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Tenancy Statutes Amendment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2007</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8</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Coroners’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2007</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10</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Tobacco Sales (Banning Tobacco and Smoking in Public Places and Schools) Amendment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2007</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11</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 xml:space="preserve">Community Services Statutes Amendment Act </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2007</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23</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Education Statutes Amendment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2007</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34</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Homeowner Protection Amendment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2007</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40</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Tsawwassen First Nation Final Agreement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2007</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43</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Greater Vancouver Transportation Amendment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2007</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44</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Greenhouse Gas Reduction Targets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2008</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7</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Local Government Statutes Amendment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lastRenderedPageBreak/>
              <w:t>2008</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10</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Housing Statutes Amendment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2008</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12</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Musqueam Reconciliation. Settlement and Benefits Agreement Implementation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2008</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14</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 xml:space="preserve">Transportation Investment (Port Mann Twinning) Amendment Act  </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2009</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47</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Vancouver Charter Amendment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2009</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6</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Police (Police Complaints Commissioner) Amendment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2009</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12</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 xml:space="preserve">Strata Property Amendment Act </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2009</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4</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 xml:space="preserve">Wills, </w:t>
            </w:r>
            <w:r w:rsidR="003B7455" w:rsidRPr="00A0677E">
              <w:rPr>
                <w:rFonts w:cs="Arial"/>
                <w:sz w:val="20"/>
              </w:rPr>
              <w:t>Estates and</w:t>
            </w:r>
            <w:r w:rsidRPr="00A0677E">
              <w:rPr>
                <w:rFonts w:cs="Arial"/>
                <w:sz w:val="20"/>
              </w:rPr>
              <w:t xml:space="preserve"> Succession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2009</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7</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 xml:space="preserve">Police (Misconduct, Complaints,  Investigations, Discipline and Proceedings) Amendment Act </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2009</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14</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Housing and Social Development Statutes Amendment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2009</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16</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Body Armour Control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2009</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18</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Assistance to Shelter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2009</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21</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 xml:space="preserve">Ambulance Services Collective Agreement Act </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2010</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12</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Gunshot and Stab Wounds Disclosure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2010</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17</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Clean Energy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2010</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18</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Haida Gwai Reconciliation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2"/>
                <w:szCs w:val="22"/>
              </w:rPr>
            </w:pPr>
            <w:r w:rsidRPr="00A0677E">
              <w:rPr>
                <w:rFonts w:cs="Arial"/>
                <w:sz w:val="22"/>
                <w:szCs w:val="22"/>
              </w:rPr>
              <w:t xml:space="preserve">    </w:t>
            </w:r>
            <w:r w:rsidRPr="00A0677E">
              <w:rPr>
                <w:rFonts w:cs="Arial"/>
                <w:b/>
                <w:sz w:val="22"/>
                <w:szCs w:val="22"/>
              </w:rPr>
              <w:t>Clark</w:t>
            </w:r>
            <w:r w:rsidRPr="00A0677E">
              <w:rPr>
                <w:rFonts w:cs="Arial"/>
                <w:sz w:val="22"/>
                <w:szCs w:val="22"/>
              </w:rPr>
              <w:t xml:space="preserve"> (</w:t>
            </w:r>
            <w:r w:rsidRPr="00A0677E">
              <w:rPr>
                <w:rFonts w:cs="Arial"/>
                <w:b/>
                <w:sz w:val="22"/>
                <w:szCs w:val="22"/>
              </w:rPr>
              <w:t>Liberal)  -  [March 14, 2011 – ff]</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b/>
                <w:sz w:val="20"/>
              </w:rPr>
            </w:pPr>
            <w:r w:rsidRPr="00A0677E">
              <w:rPr>
                <w:rFonts w:cs="Arial"/>
                <w:b/>
                <w:sz w:val="20"/>
              </w:rPr>
              <w:t>Year</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b/>
                <w:sz w:val="20"/>
              </w:rPr>
            </w:pPr>
            <w:r w:rsidRPr="00A0677E">
              <w:rPr>
                <w:rFonts w:cs="Arial"/>
                <w:b/>
                <w:sz w:val="20"/>
              </w:rPr>
              <w:t>Bill</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b/>
                <w:sz w:val="20"/>
              </w:rPr>
            </w:pPr>
            <w:r w:rsidRPr="00A0677E">
              <w:rPr>
                <w:rFonts w:cs="Arial"/>
                <w:sz w:val="20"/>
              </w:rPr>
              <w:t xml:space="preserve">   </w:t>
            </w:r>
            <w:r w:rsidRPr="00A0677E">
              <w:rPr>
                <w:rFonts w:cs="Arial"/>
                <w:b/>
                <w:sz w:val="20"/>
              </w:rPr>
              <w:t>Legislation</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2011</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4</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Harmonized Sales Tax (HST) Initiative Vote and  Referendum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2-011</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5</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New West Partnership Trade Agreement Implementation Act</w:t>
            </w:r>
          </w:p>
        </w:tc>
      </w:tr>
      <w:tr w:rsidR="001948C1" w:rsidRPr="00A0677E" w:rsidTr="00281652">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2011</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6</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Civil Forfeiture Amendment Act</w:t>
            </w:r>
          </w:p>
        </w:tc>
        <w:tc>
          <w:tcPr>
            <w:tcW w:w="8010" w:type="dxa"/>
          </w:tcPr>
          <w:p w:rsidR="001948C1" w:rsidRPr="00A0677E" w:rsidRDefault="001948C1" w:rsidP="00016E6B">
            <w:pPr>
              <w:spacing w:line="480" w:lineRule="auto"/>
              <w:jc w:val="both"/>
              <w:rPr>
                <w:rFonts w:cs="Arial"/>
                <w:b/>
                <w:sz w:val="20"/>
              </w:rPr>
            </w:pPr>
          </w:p>
        </w:tc>
        <w:tc>
          <w:tcPr>
            <w:tcW w:w="8010" w:type="dxa"/>
          </w:tcPr>
          <w:p w:rsidR="001948C1" w:rsidRPr="00A0677E" w:rsidRDefault="001948C1" w:rsidP="00016E6B">
            <w:pPr>
              <w:spacing w:line="480" w:lineRule="auto"/>
              <w:jc w:val="both"/>
              <w:rPr>
                <w:rFonts w:cs="Arial"/>
                <w:b/>
                <w:sz w:val="20"/>
              </w:rPr>
            </w:pPr>
            <w:r w:rsidRPr="00A0677E">
              <w:rPr>
                <w:rFonts w:cs="Arial"/>
                <w:b/>
                <w:sz w:val="20"/>
              </w:rPr>
              <w:t>Campbell (Liberal)</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2011</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11</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Yale First Nation Final Agreement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2011</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14</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Coastal Ferries Amendment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2011</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`15</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3B7455" w:rsidP="00016E6B">
            <w:pPr>
              <w:spacing w:line="480" w:lineRule="auto"/>
              <w:jc w:val="both"/>
              <w:rPr>
                <w:rFonts w:cs="Arial"/>
                <w:sz w:val="20"/>
              </w:rPr>
            </w:pPr>
            <w:r w:rsidRPr="00A0677E">
              <w:rPr>
                <w:rFonts w:cs="Arial"/>
                <w:sz w:val="20"/>
              </w:rPr>
              <w:t>Municipalities</w:t>
            </w:r>
            <w:r w:rsidR="001948C1" w:rsidRPr="00A0677E">
              <w:rPr>
                <w:rFonts w:cs="Arial"/>
                <w:sz w:val="20"/>
              </w:rPr>
              <w:t xml:space="preserve"> Enabling and Validating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2011</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8</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Community, Sport and Cultural Development Statute Amendments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2011</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11</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Greater Vancouver  Transit Enhancement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lastRenderedPageBreak/>
              <w:t>2011</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12</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Teachers’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2011</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13</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Metal Dealers and Recyclers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2012</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Auditor General for Local Government Act</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2012</w:t>
            </w: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31</w:t>
            </w: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r w:rsidRPr="00A0677E">
              <w:rPr>
                <w:rFonts w:cs="Arial"/>
                <w:sz w:val="20"/>
              </w:rPr>
              <w:t>Motion Picture Amendment Act, 2012)</w:t>
            </w: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p>
        </w:tc>
      </w:tr>
      <w:tr w:rsidR="001948C1" w:rsidRPr="00A0677E" w:rsidTr="00281652">
        <w:trPr>
          <w:gridAfter w:val="2"/>
          <w:wAfter w:w="16020" w:type="dxa"/>
        </w:trPr>
        <w:tc>
          <w:tcPr>
            <w:tcW w:w="918"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p>
        </w:tc>
        <w:tc>
          <w:tcPr>
            <w:tcW w:w="72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p>
        </w:tc>
        <w:tc>
          <w:tcPr>
            <w:tcW w:w="8010" w:type="dxa"/>
            <w:tcBorders>
              <w:top w:val="single" w:sz="6" w:space="0" w:color="auto"/>
              <w:left w:val="single" w:sz="6" w:space="0" w:color="auto"/>
              <w:bottom w:val="single" w:sz="6" w:space="0" w:color="auto"/>
              <w:right w:val="single" w:sz="6" w:space="0" w:color="auto"/>
            </w:tcBorders>
          </w:tcPr>
          <w:p w:rsidR="001948C1" w:rsidRPr="00A0677E" w:rsidRDefault="001948C1" w:rsidP="00016E6B">
            <w:pPr>
              <w:spacing w:line="480" w:lineRule="auto"/>
              <w:jc w:val="both"/>
              <w:rPr>
                <w:rFonts w:cs="Arial"/>
                <w:sz w:val="20"/>
              </w:rPr>
            </w:pPr>
          </w:p>
        </w:tc>
      </w:tr>
    </w:tbl>
    <w:p w:rsidR="001948C1" w:rsidRPr="00A0677E" w:rsidRDefault="001948C1" w:rsidP="00016E6B">
      <w:pPr>
        <w:pStyle w:val="Footer"/>
        <w:tabs>
          <w:tab w:val="clear" w:pos="4153"/>
          <w:tab w:val="clear" w:pos="8306"/>
        </w:tabs>
        <w:spacing w:line="480" w:lineRule="auto"/>
        <w:jc w:val="both"/>
        <w:rPr>
          <w:rFonts w:ascii="Arial" w:hAnsi="Arial" w:cs="Arial"/>
          <w:sz w:val="20"/>
          <w:lang w:val="en-GB"/>
        </w:rPr>
      </w:pPr>
      <w:r w:rsidRPr="00A0677E">
        <w:rPr>
          <w:rFonts w:ascii="Arial" w:hAnsi="Arial" w:cs="Arial"/>
          <w:sz w:val="20"/>
          <w:lang w:val="en-GB"/>
        </w:rPr>
        <w:t>*Municipal government primary topic of legislation.</w:t>
      </w:r>
    </w:p>
    <w:p w:rsidR="001948C1" w:rsidRPr="00A0677E" w:rsidRDefault="00F92723" w:rsidP="00016E6B">
      <w:pPr>
        <w:pStyle w:val="Heading1"/>
        <w:spacing w:before="0" w:line="480" w:lineRule="auto"/>
        <w:jc w:val="both"/>
        <w:rPr>
          <w:rFonts w:ascii="Arial" w:hAnsi="Arial" w:cs="Arial"/>
        </w:rPr>
      </w:pPr>
      <w:bookmarkStart w:id="9" w:name="_Toc15729522"/>
      <w:r>
        <w:rPr>
          <w:rFonts w:ascii="Arial" w:hAnsi="Arial" w:cs="Arial"/>
        </w:rPr>
        <w:t>N</w:t>
      </w:r>
      <w:r w:rsidR="001948C1" w:rsidRPr="00A0677E">
        <w:rPr>
          <w:rFonts w:ascii="Arial" w:hAnsi="Arial" w:cs="Arial"/>
        </w:rPr>
        <w:t>otes</w:t>
      </w:r>
    </w:p>
    <w:p w:rsidR="001948C1" w:rsidRPr="00F92723" w:rsidRDefault="001948C1" w:rsidP="00016E6B">
      <w:pPr>
        <w:pStyle w:val="Heading1"/>
        <w:spacing w:before="0"/>
        <w:jc w:val="both"/>
        <w:rPr>
          <w:rFonts w:ascii="Arial" w:hAnsi="Arial" w:cs="Arial"/>
          <w:b w:val="0"/>
          <w:sz w:val="18"/>
          <w:szCs w:val="18"/>
        </w:rPr>
      </w:pPr>
      <w:r w:rsidRPr="00F92723">
        <w:rPr>
          <w:rFonts w:ascii="Arial" w:hAnsi="Arial" w:cs="Arial"/>
          <w:b w:val="0"/>
          <w:sz w:val="18"/>
          <w:szCs w:val="18"/>
        </w:rPr>
        <w:t>1. The BC Community Charter legislation was given royal assent on 29 May 2003. I</w:t>
      </w:r>
      <w:r w:rsidR="00FF3273">
        <w:rPr>
          <w:rFonts w:ascii="Arial" w:hAnsi="Arial" w:cs="Arial"/>
          <w:b w:val="0"/>
          <w:sz w:val="18"/>
          <w:szCs w:val="18"/>
        </w:rPr>
        <w:t>t came into effect Jan.1, 2004</w:t>
      </w:r>
      <w:r w:rsidRPr="00F92723">
        <w:rPr>
          <w:rFonts w:ascii="Arial" w:hAnsi="Arial" w:cs="Arial"/>
          <w:b w:val="0"/>
          <w:sz w:val="18"/>
          <w:szCs w:val="18"/>
        </w:rPr>
        <w:t>.</w:t>
      </w:r>
    </w:p>
    <w:p w:rsidR="001948C1" w:rsidRPr="00F92723" w:rsidRDefault="001948C1" w:rsidP="00016E6B">
      <w:pPr>
        <w:jc w:val="both"/>
        <w:rPr>
          <w:rFonts w:cs="Arial"/>
          <w:sz w:val="18"/>
          <w:szCs w:val="18"/>
          <w:lang w:val="en-GB"/>
        </w:rPr>
      </w:pPr>
      <w:r w:rsidRPr="00F92723">
        <w:rPr>
          <w:rFonts w:cs="Arial"/>
          <w:sz w:val="18"/>
          <w:szCs w:val="18"/>
          <w:lang w:val="en-GB"/>
        </w:rPr>
        <w:t xml:space="preserve">2. </w:t>
      </w:r>
      <w:r w:rsidRPr="00F92723">
        <w:rPr>
          <w:rFonts w:cs="Arial"/>
          <w:sz w:val="18"/>
          <w:szCs w:val="18"/>
        </w:rPr>
        <w:t>The GVTA is made up of locally elected mayors and councillors; like the GVRD, they then are selected to serve on the GVTA board. On this GVRD model, see Smith and Oberlander (1998).</w:t>
      </w:r>
    </w:p>
    <w:p w:rsidR="001948C1" w:rsidRPr="00F92723" w:rsidRDefault="001948C1" w:rsidP="00016E6B">
      <w:pPr>
        <w:jc w:val="both"/>
        <w:rPr>
          <w:rFonts w:cs="Arial"/>
          <w:sz w:val="18"/>
          <w:szCs w:val="18"/>
          <w:lang w:val="en-GB"/>
        </w:rPr>
      </w:pPr>
      <w:r w:rsidRPr="00F92723">
        <w:rPr>
          <w:rFonts w:cs="Arial"/>
          <w:sz w:val="18"/>
          <w:szCs w:val="18"/>
          <w:lang w:val="en-GB"/>
        </w:rPr>
        <w:t xml:space="preserve">3. </w:t>
      </w:r>
      <w:r w:rsidRPr="00F92723">
        <w:rPr>
          <w:rFonts w:cs="Arial"/>
          <w:sz w:val="18"/>
          <w:szCs w:val="18"/>
        </w:rPr>
        <w:t>The other three board seats are held by provincial MLAs, appointed by the government; at the end of the NDP era these MLAs were not attending meetings and there remains an intention to eliminate this provincial membership component. T</w:t>
      </w:r>
      <w:r w:rsidR="00FF3273">
        <w:rPr>
          <w:rFonts w:cs="Arial"/>
          <w:sz w:val="18"/>
          <w:szCs w:val="18"/>
        </w:rPr>
        <w:t>hat continued under the fisrt term Campbell Liberals</w:t>
      </w:r>
      <w:r w:rsidRPr="00F92723">
        <w:rPr>
          <w:rFonts w:cs="Arial"/>
          <w:sz w:val="18"/>
          <w:szCs w:val="18"/>
        </w:rPr>
        <w:t>.</w:t>
      </w:r>
    </w:p>
    <w:p w:rsidR="001948C1" w:rsidRPr="00F92723" w:rsidRDefault="001948C1" w:rsidP="00016E6B">
      <w:pPr>
        <w:jc w:val="both"/>
        <w:rPr>
          <w:rFonts w:cs="Arial"/>
          <w:sz w:val="18"/>
          <w:szCs w:val="18"/>
          <w:lang w:val="en-GB"/>
        </w:rPr>
      </w:pPr>
      <w:r w:rsidRPr="00F92723">
        <w:rPr>
          <w:rFonts w:cs="Arial"/>
          <w:sz w:val="18"/>
          <w:szCs w:val="18"/>
          <w:lang w:val="en-GB"/>
        </w:rPr>
        <w:t xml:space="preserve">4. </w:t>
      </w:r>
      <w:r w:rsidRPr="00F92723">
        <w:rPr>
          <w:rFonts w:cs="Arial"/>
          <w:sz w:val="18"/>
          <w:szCs w:val="18"/>
        </w:rPr>
        <w:t xml:space="preserve">See Greater Vancouver Transportation Authority, </w:t>
      </w:r>
      <w:r w:rsidRPr="00F92723">
        <w:rPr>
          <w:rFonts w:cs="Arial"/>
          <w:i/>
          <w:sz w:val="18"/>
          <w:szCs w:val="18"/>
        </w:rPr>
        <w:t>2005–2007 Three Year Plan + Ten Year Outlook: Strategic Transportation Plan Amendment</w:t>
      </w:r>
      <w:r w:rsidRPr="00F92723">
        <w:rPr>
          <w:rFonts w:cs="Arial"/>
          <w:sz w:val="18"/>
          <w:szCs w:val="18"/>
        </w:rPr>
        <w:t xml:space="preserve"> (Burnaby, BC: Translink, Feb. 2004).</w:t>
      </w:r>
    </w:p>
    <w:p w:rsidR="001948C1" w:rsidRPr="00F92723" w:rsidRDefault="001948C1" w:rsidP="00016E6B">
      <w:pPr>
        <w:jc w:val="both"/>
        <w:rPr>
          <w:rFonts w:cs="Arial"/>
          <w:sz w:val="18"/>
          <w:szCs w:val="18"/>
          <w:lang w:val="en-GB"/>
        </w:rPr>
      </w:pPr>
      <w:r w:rsidRPr="00F92723">
        <w:rPr>
          <w:rFonts w:cs="Arial"/>
          <w:sz w:val="18"/>
          <w:szCs w:val="18"/>
          <w:lang w:val="en-GB"/>
        </w:rPr>
        <w:t>5. M</w:t>
      </w:r>
      <w:r w:rsidRPr="00F92723">
        <w:rPr>
          <w:rFonts w:cs="Arial"/>
          <w:sz w:val="18"/>
          <w:szCs w:val="18"/>
        </w:rPr>
        <w:t>CAWS officials and BC politicians have concluded that after several years of ‘reforms’, no new initiatives are planned prior to the 2005 BC general election. (BC government interviews, Feb.–Mar. AND AUGUST, 2004.)</w:t>
      </w:r>
    </w:p>
    <w:p w:rsidR="001948C1" w:rsidRPr="00F92723" w:rsidRDefault="001948C1" w:rsidP="00016E6B">
      <w:pPr>
        <w:jc w:val="both"/>
        <w:rPr>
          <w:rFonts w:cs="Arial"/>
          <w:sz w:val="18"/>
          <w:szCs w:val="18"/>
          <w:lang w:val="en-GB"/>
        </w:rPr>
      </w:pPr>
      <w:r w:rsidRPr="00F92723">
        <w:rPr>
          <w:rFonts w:cs="Arial"/>
          <w:sz w:val="18"/>
          <w:szCs w:val="18"/>
          <w:lang w:val="en-GB"/>
        </w:rPr>
        <w:t xml:space="preserve">6. </w:t>
      </w:r>
      <w:r w:rsidRPr="00F92723">
        <w:rPr>
          <w:rFonts w:cs="Arial"/>
          <w:sz w:val="18"/>
          <w:szCs w:val="18"/>
        </w:rPr>
        <w:t xml:space="preserve">A Citizens’ Assembly </w:t>
      </w:r>
      <w:r w:rsidR="00FF3273">
        <w:rPr>
          <w:rFonts w:cs="Arial"/>
          <w:sz w:val="18"/>
          <w:szCs w:val="18"/>
        </w:rPr>
        <w:t>worked</w:t>
      </w:r>
      <w:r w:rsidRPr="00F92723">
        <w:rPr>
          <w:rFonts w:cs="Arial"/>
          <w:sz w:val="18"/>
          <w:szCs w:val="18"/>
        </w:rPr>
        <w:t xml:space="preserve"> on the province-wide electoral reform issue until reporting in December 2004, for May 2005 BC general election consideration </w:t>
      </w:r>
      <w:r w:rsidR="00FF3273">
        <w:rPr>
          <w:rFonts w:cs="Arial"/>
          <w:sz w:val="18"/>
          <w:szCs w:val="18"/>
        </w:rPr>
        <w:t xml:space="preserve">in a referendum </w:t>
      </w:r>
      <w:r w:rsidRPr="00F92723">
        <w:rPr>
          <w:rFonts w:cs="Arial"/>
          <w:sz w:val="18"/>
          <w:szCs w:val="18"/>
        </w:rPr>
        <w:t xml:space="preserve">(see </w:t>
      </w:r>
      <w:hyperlink r:id="rId11" w:history="1">
        <w:r w:rsidRPr="00F92723">
          <w:rPr>
            <w:rStyle w:val="Hyperlink"/>
            <w:rFonts w:eastAsiaTheme="majorEastAsia" w:cs="Arial"/>
            <w:sz w:val="18"/>
            <w:szCs w:val="18"/>
          </w:rPr>
          <w:t>www.citizensassembly.bc.ca</w:t>
        </w:r>
      </w:hyperlink>
      <w:r w:rsidRPr="00F92723">
        <w:rPr>
          <w:rFonts w:cs="Arial"/>
          <w:sz w:val="18"/>
          <w:szCs w:val="18"/>
        </w:rPr>
        <w:t xml:space="preserve"> ).</w:t>
      </w:r>
    </w:p>
    <w:p w:rsidR="001948C1" w:rsidRPr="00F92723" w:rsidRDefault="001948C1" w:rsidP="00016E6B">
      <w:pPr>
        <w:jc w:val="both"/>
        <w:rPr>
          <w:rFonts w:cs="Arial"/>
          <w:sz w:val="18"/>
          <w:szCs w:val="18"/>
          <w:lang w:val="en-GB"/>
        </w:rPr>
      </w:pPr>
      <w:r w:rsidRPr="00F92723">
        <w:rPr>
          <w:rFonts w:cs="Arial"/>
          <w:sz w:val="18"/>
          <w:szCs w:val="18"/>
          <w:lang w:val="en-GB"/>
        </w:rPr>
        <w:t xml:space="preserve">7. </w:t>
      </w:r>
      <w:r w:rsidRPr="00F92723">
        <w:rPr>
          <w:rFonts w:cs="Arial"/>
          <w:sz w:val="18"/>
          <w:szCs w:val="18"/>
        </w:rPr>
        <w:t>Bill 14, Community Charter Act, Third Reading, 4th Session, 37th Parliament, proclaimed 29 May 2003. IN EFFECT FROM JANUARY 1, 2004.Victoria: Queen’s Printer.</w:t>
      </w:r>
    </w:p>
    <w:p w:rsidR="001948C1" w:rsidRPr="00F92723" w:rsidRDefault="001948C1" w:rsidP="00016E6B">
      <w:pPr>
        <w:jc w:val="both"/>
        <w:rPr>
          <w:rFonts w:cs="Arial"/>
          <w:sz w:val="18"/>
          <w:szCs w:val="18"/>
          <w:lang w:val="en-GB"/>
        </w:rPr>
      </w:pPr>
      <w:r w:rsidRPr="00F92723">
        <w:rPr>
          <w:rFonts w:cs="Arial"/>
          <w:sz w:val="18"/>
          <w:szCs w:val="18"/>
          <w:lang w:val="en-GB"/>
        </w:rPr>
        <w:t xml:space="preserve">8. </w:t>
      </w:r>
      <w:r w:rsidRPr="00F92723">
        <w:rPr>
          <w:rFonts w:cs="Arial"/>
          <w:sz w:val="18"/>
          <w:szCs w:val="18"/>
        </w:rPr>
        <w:t>Bill 14, the Community Charter, ‘Principles of the Provincial-Municipal Relationship’, Part 1, Sec. 2.</w:t>
      </w:r>
    </w:p>
    <w:p w:rsidR="001948C1" w:rsidRPr="00F92723" w:rsidRDefault="001948C1" w:rsidP="00016E6B">
      <w:pPr>
        <w:jc w:val="both"/>
        <w:rPr>
          <w:rFonts w:cs="Arial"/>
          <w:sz w:val="18"/>
          <w:szCs w:val="18"/>
          <w:lang w:val="en-GB"/>
        </w:rPr>
      </w:pPr>
      <w:r w:rsidRPr="00F92723">
        <w:rPr>
          <w:rFonts w:cs="Arial"/>
          <w:sz w:val="18"/>
          <w:szCs w:val="18"/>
          <w:lang w:val="en-GB"/>
        </w:rPr>
        <w:t xml:space="preserve">9. </w:t>
      </w:r>
      <w:r w:rsidRPr="00F92723">
        <w:rPr>
          <w:rFonts w:cs="Arial"/>
          <w:sz w:val="18"/>
          <w:szCs w:val="18"/>
        </w:rPr>
        <w:t>On this example, see Smith and Oberlander (1998).</w:t>
      </w:r>
    </w:p>
    <w:p w:rsidR="001948C1" w:rsidRPr="00F92723" w:rsidRDefault="001948C1" w:rsidP="00016E6B">
      <w:pPr>
        <w:jc w:val="both"/>
        <w:rPr>
          <w:rFonts w:cs="Arial"/>
          <w:sz w:val="18"/>
          <w:szCs w:val="18"/>
          <w:lang w:val="en-GB"/>
        </w:rPr>
      </w:pPr>
      <w:r w:rsidRPr="00F92723">
        <w:rPr>
          <w:rFonts w:cs="Arial"/>
          <w:sz w:val="18"/>
          <w:szCs w:val="18"/>
          <w:lang w:val="en-GB"/>
        </w:rPr>
        <w:t xml:space="preserve">10. </w:t>
      </w:r>
      <w:r w:rsidRPr="00F92723">
        <w:rPr>
          <w:rFonts w:cs="Arial"/>
          <w:sz w:val="18"/>
          <w:szCs w:val="18"/>
        </w:rPr>
        <w:t xml:space="preserve">See Derrick Penner, ‘Tomato King cheers right to burn wood: Court overturns bylaw that restricted growers fuel—Delta bylaw “set undue restrictions”’, </w:t>
      </w:r>
      <w:r w:rsidRPr="00F92723">
        <w:rPr>
          <w:rFonts w:cs="Arial"/>
          <w:i/>
          <w:sz w:val="18"/>
          <w:szCs w:val="18"/>
        </w:rPr>
        <w:t>Vancouver Sun</w:t>
      </w:r>
      <w:r w:rsidRPr="00F92723">
        <w:rPr>
          <w:rFonts w:cs="Arial"/>
          <w:sz w:val="18"/>
          <w:szCs w:val="18"/>
        </w:rPr>
        <w:t xml:space="preserve">, 19 Apr. 2003, C1–2. In this case the Municipality of Delta had passed a bylaw to provide some local controls of large (e.g., in this case 18–acre) greenhouse operations, in particular their use of less-clean fuel sources for heating. The BC government intervened when a grower challenged the bylaw, citing right-to-farm legislation over the right of a municipality to legislate on local businesses. The province also argued that the local bylaw contradicted the provincial Waste Management Act, which exempts agricultural operations. Urban-rural issues of this sort are not new to Delta, a Vancouver suburb. In the late 1980s and 1990s, Delta held the longest land-use dispute hearing in Canadian history over efforts to develop farmland for urban use. The debates over the so-called Spetifore lands near the </w:t>
      </w:r>
      <w:r w:rsidR="003B7455" w:rsidRPr="00F92723">
        <w:rPr>
          <w:rFonts w:cs="Arial"/>
          <w:sz w:val="18"/>
          <w:szCs w:val="18"/>
        </w:rPr>
        <w:t>Tsawwassen</w:t>
      </w:r>
      <w:r w:rsidRPr="00F92723">
        <w:rPr>
          <w:rFonts w:cs="Arial"/>
          <w:sz w:val="18"/>
          <w:szCs w:val="18"/>
        </w:rPr>
        <w:t xml:space="preserve"> ferry terminal to Vancouver Island initially led to the Bill Bennett Social Credit government abolishing regional planning in 1983 when the GVRD initially prevented development plans by a Delta Social Credit supporter. The Minister of Agriculture/Fisheries has since precluded use of local bylaws to prevent/regulate coastal fish farms in BC as well.</w:t>
      </w:r>
    </w:p>
    <w:p w:rsidR="001948C1" w:rsidRPr="00F92723" w:rsidRDefault="001948C1" w:rsidP="00016E6B">
      <w:pPr>
        <w:jc w:val="both"/>
        <w:rPr>
          <w:rFonts w:cs="Arial"/>
          <w:sz w:val="18"/>
          <w:szCs w:val="18"/>
          <w:lang w:val="en-GB"/>
        </w:rPr>
      </w:pPr>
      <w:r w:rsidRPr="00F92723">
        <w:rPr>
          <w:rFonts w:cs="Arial"/>
          <w:sz w:val="18"/>
          <w:szCs w:val="18"/>
          <w:lang w:val="en-GB"/>
        </w:rPr>
        <w:t xml:space="preserve">11. </w:t>
      </w:r>
      <w:r w:rsidRPr="00F92723">
        <w:rPr>
          <w:rFonts w:cs="Arial"/>
          <w:sz w:val="18"/>
          <w:szCs w:val="18"/>
        </w:rPr>
        <w:t xml:space="preserve">On such fish farms issues, see, for example, Charlie Anderson, ‘Auditor-General to look into return of (fish-)farm fines after a complaint by the Sierra Legal Defence Fund’, </w:t>
      </w:r>
      <w:r w:rsidRPr="00F92723">
        <w:rPr>
          <w:rFonts w:cs="Arial"/>
          <w:i/>
          <w:sz w:val="18"/>
          <w:szCs w:val="18"/>
        </w:rPr>
        <w:t>The Province</w:t>
      </w:r>
      <w:r w:rsidRPr="00F92723">
        <w:rPr>
          <w:rFonts w:cs="Arial"/>
          <w:sz w:val="18"/>
          <w:szCs w:val="18"/>
        </w:rPr>
        <w:t xml:space="preserve">, 15 Feb. 2004, A6. </w:t>
      </w:r>
      <w:r w:rsidR="00306059">
        <w:rPr>
          <w:rFonts w:cs="Arial"/>
          <w:sz w:val="18"/>
          <w:szCs w:val="18"/>
        </w:rPr>
        <w:t xml:space="preserve">This pressure continued throughout 2004-5 On the West Van dispute with  the province on the Sea To Sky highway see, for eg, </w:t>
      </w:r>
      <w:r w:rsidRPr="00F92723">
        <w:rPr>
          <w:rFonts w:cs="Arial"/>
          <w:sz w:val="18"/>
          <w:szCs w:val="18"/>
        </w:rPr>
        <w:t xml:space="preserve"> “decision on overland route for sea to Sky slammed” , district of west Vancouver news release, July 17, 2004. In this the municipality stated that it was “</w:t>
      </w:r>
      <w:r w:rsidR="003B7455" w:rsidRPr="00F92723">
        <w:rPr>
          <w:rFonts w:cs="Arial"/>
          <w:sz w:val="18"/>
          <w:szCs w:val="18"/>
        </w:rPr>
        <w:t>extremely</w:t>
      </w:r>
      <w:r w:rsidRPr="00F92723">
        <w:rPr>
          <w:rFonts w:cs="Arial"/>
          <w:sz w:val="18"/>
          <w:szCs w:val="18"/>
        </w:rPr>
        <w:t xml:space="preserve"> disappointed with the province’s decision”  S</w:t>
      </w:r>
      <w:r w:rsidR="00306059">
        <w:rPr>
          <w:rFonts w:cs="Arial"/>
          <w:sz w:val="18"/>
          <w:szCs w:val="18"/>
        </w:rPr>
        <w:t>EE</w:t>
      </w:r>
      <w:r w:rsidRPr="00F92723">
        <w:rPr>
          <w:rFonts w:cs="Arial"/>
          <w:sz w:val="18"/>
          <w:szCs w:val="18"/>
        </w:rPr>
        <w:t xml:space="preserve"> “MAYOR’S STATEMENT TO COUNCIL, DISTRICT OF WEST VANCOUVER, JULY 20, 2004.</w:t>
      </w:r>
    </w:p>
    <w:p w:rsidR="001948C1" w:rsidRPr="00F92723" w:rsidRDefault="001948C1" w:rsidP="00016E6B">
      <w:pPr>
        <w:jc w:val="both"/>
        <w:rPr>
          <w:rFonts w:cs="Arial"/>
          <w:sz w:val="18"/>
          <w:szCs w:val="18"/>
          <w:lang w:val="en-GB"/>
        </w:rPr>
      </w:pPr>
      <w:r w:rsidRPr="00F92723">
        <w:rPr>
          <w:rFonts w:cs="Arial"/>
          <w:sz w:val="18"/>
          <w:szCs w:val="18"/>
          <w:lang w:val="en-GB"/>
        </w:rPr>
        <w:t xml:space="preserve">12. </w:t>
      </w:r>
      <w:r w:rsidRPr="00F92723">
        <w:rPr>
          <w:rFonts w:cs="Arial"/>
          <w:sz w:val="18"/>
          <w:szCs w:val="18"/>
        </w:rPr>
        <w:t>See, for example, ‘Bill 75, the Significant Projects Streamlining Act, introduced November 3, 2003’, at: &lt;www.gov.bc.ca and www.dogwoodinitiative.org/SignificantProjectsStreamliningAct.htm&gt;. The Act was given royal assent on 2 December 2003: &lt;www.civicnet.bc.ca&gt;.</w:t>
      </w:r>
    </w:p>
    <w:p w:rsidR="001948C1" w:rsidRPr="00A0677E" w:rsidRDefault="001948C1" w:rsidP="00016E6B">
      <w:pPr>
        <w:spacing w:line="480" w:lineRule="auto"/>
        <w:jc w:val="both"/>
        <w:rPr>
          <w:rFonts w:cs="Arial"/>
          <w:lang w:val="en-GB"/>
        </w:rPr>
      </w:pPr>
    </w:p>
    <w:p w:rsidR="001948C1" w:rsidRPr="00A0677E" w:rsidRDefault="00F92723" w:rsidP="00016E6B">
      <w:pPr>
        <w:pStyle w:val="Heading1"/>
        <w:spacing w:before="0" w:line="480" w:lineRule="auto"/>
        <w:jc w:val="both"/>
        <w:rPr>
          <w:rFonts w:ascii="Arial" w:hAnsi="Arial" w:cs="Arial"/>
        </w:rPr>
      </w:pPr>
      <w:r>
        <w:rPr>
          <w:rFonts w:ascii="Arial" w:hAnsi="Arial" w:cs="Arial"/>
        </w:rPr>
        <w:lastRenderedPageBreak/>
        <w:t>R</w:t>
      </w:r>
      <w:r w:rsidR="001948C1" w:rsidRPr="00A0677E">
        <w:rPr>
          <w:rFonts w:ascii="Arial" w:hAnsi="Arial" w:cs="Arial"/>
        </w:rPr>
        <w:t>eferences</w:t>
      </w:r>
      <w:bookmarkEnd w:id="9"/>
    </w:p>
    <w:p w:rsidR="001948C1" w:rsidRPr="00A40CCB" w:rsidRDefault="00306059" w:rsidP="00016E6B">
      <w:pPr>
        <w:spacing w:after="120" w:line="360" w:lineRule="auto"/>
        <w:ind w:left="720" w:hanging="720"/>
        <w:jc w:val="both"/>
        <w:rPr>
          <w:rFonts w:cs="Arial"/>
          <w:sz w:val="18"/>
          <w:szCs w:val="18"/>
          <w:lang w:val="en-GB"/>
        </w:rPr>
      </w:pPr>
      <w:r>
        <w:rPr>
          <w:rFonts w:cs="Arial"/>
          <w:sz w:val="18"/>
          <w:szCs w:val="18"/>
          <w:lang w:val="en-GB"/>
        </w:rPr>
        <w:t>-</w:t>
      </w:r>
      <w:r w:rsidR="001948C1" w:rsidRPr="00A40CCB">
        <w:rPr>
          <w:rFonts w:cs="Arial"/>
          <w:sz w:val="18"/>
          <w:szCs w:val="18"/>
          <w:lang w:val="en-GB"/>
        </w:rPr>
        <w:t xml:space="preserve">Armstrong, J. 1999. ‘The Forces That Cut Vancouver in Half’, </w:t>
      </w:r>
      <w:r w:rsidR="001948C1" w:rsidRPr="00A40CCB">
        <w:rPr>
          <w:rFonts w:cs="Arial"/>
          <w:i/>
          <w:sz w:val="18"/>
          <w:szCs w:val="18"/>
          <w:lang w:val="en-GB"/>
        </w:rPr>
        <w:t>Globe and Mail</w:t>
      </w:r>
      <w:r w:rsidR="001948C1" w:rsidRPr="00A40CCB">
        <w:rPr>
          <w:rFonts w:cs="Arial"/>
          <w:sz w:val="18"/>
          <w:szCs w:val="18"/>
          <w:lang w:val="en-GB"/>
        </w:rPr>
        <w:t>, May, 1, 7.</w:t>
      </w:r>
    </w:p>
    <w:p w:rsidR="001948C1" w:rsidRPr="00A40CCB" w:rsidRDefault="00306059" w:rsidP="00016E6B">
      <w:pPr>
        <w:spacing w:after="120" w:line="360" w:lineRule="auto"/>
        <w:ind w:left="720" w:hanging="720"/>
        <w:jc w:val="both"/>
        <w:rPr>
          <w:rFonts w:cs="Arial"/>
          <w:sz w:val="18"/>
          <w:szCs w:val="18"/>
          <w:lang w:val="en-GB"/>
        </w:rPr>
      </w:pPr>
      <w:r>
        <w:rPr>
          <w:rFonts w:cs="Arial"/>
          <w:sz w:val="18"/>
          <w:szCs w:val="18"/>
          <w:lang w:val="en-GB"/>
        </w:rPr>
        <w:t>-</w:t>
      </w:r>
      <w:r w:rsidR="001948C1" w:rsidRPr="00A40CCB">
        <w:rPr>
          <w:rFonts w:cs="Arial"/>
          <w:sz w:val="18"/>
          <w:szCs w:val="18"/>
          <w:lang w:val="en-GB"/>
        </w:rPr>
        <w:t xml:space="preserve">Bergamini, M. 1991. </w:t>
      </w:r>
      <w:r w:rsidR="001948C1" w:rsidRPr="00A40CCB">
        <w:rPr>
          <w:rFonts w:cs="Arial"/>
          <w:i/>
          <w:sz w:val="18"/>
          <w:szCs w:val="18"/>
          <w:lang w:val="en-GB"/>
        </w:rPr>
        <w:t>A Constitutional Role for Municipalities: Prospects and Options</w:t>
      </w:r>
      <w:r w:rsidR="001948C1" w:rsidRPr="00A40CCB">
        <w:rPr>
          <w:rFonts w:cs="Arial"/>
          <w:sz w:val="18"/>
          <w:szCs w:val="18"/>
          <w:lang w:val="en-GB"/>
        </w:rPr>
        <w:t>. Ottawa: Federation of Canadian Municipalities, Sept.</w:t>
      </w:r>
    </w:p>
    <w:p w:rsidR="001948C1" w:rsidRPr="00A40CCB" w:rsidRDefault="00306059" w:rsidP="00016E6B">
      <w:pPr>
        <w:spacing w:line="360" w:lineRule="auto"/>
        <w:jc w:val="both"/>
        <w:rPr>
          <w:rFonts w:cs="Arial"/>
          <w:sz w:val="18"/>
          <w:szCs w:val="18"/>
        </w:rPr>
      </w:pPr>
      <w:r>
        <w:rPr>
          <w:rFonts w:cs="Arial"/>
          <w:sz w:val="18"/>
          <w:szCs w:val="18"/>
          <w:lang w:val="en-GB"/>
        </w:rPr>
        <w:t>-</w:t>
      </w:r>
      <w:r w:rsidR="001948C1" w:rsidRPr="00A40CCB">
        <w:rPr>
          <w:rFonts w:cs="Arial"/>
          <w:sz w:val="18"/>
          <w:szCs w:val="18"/>
          <w:lang w:val="en-GB"/>
        </w:rPr>
        <w:t>Bish, Robert L</w:t>
      </w:r>
      <w:r w:rsidR="001948C1" w:rsidRPr="00A40CCB">
        <w:rPr>
          <w:rFonts w:cs="Arial"/>
          <w:sz w:val="18"/>
          <w:szCs w:val="18"/>
        </w:rPr>
        <w:t xml:space="preserve">. (2002), </w:t>
      </w:r>
      <w:r w:rsidR="001948C1" w:rsidRPr="00A40CCB">
        <w:rPr>
          <w:rFonts w:cs="Arial"/>
          <w:i/>
          <w:sz w:val="18"/>
          <w:szCs w:val="18"/>
        </w:rPr>
        <w:t>The Draft Community Charter: Comments</w:t>
      </w:r>
      <w:r w:rsidR="001948C1" w:rsidRPr="00A40CCB">
        <w:rPr>
          <w:rFonts w:cs="Arial"/>
          <w:sz w:val="18"/>
          <w:szCs w:val="18"/>
        </w:rPr>
        <w:t>, Paper Prepared for The Workshop on the Community Charter sponsored by the Local Government</w:t>
      </w:r>
    </w:p>
    <w:p w:rsidR="001948C1" w:rsidRPr="00A40CCB" w:rsidRDefault="001948C1" w:rsidP="00016E6B">
      <w:pPr>
        <w:spacing w:line="360" w:lineRule="auto"/>
        <w:jc w:val="both"/>
        <w:rPr>
          <w:rFonts w:cs="Arial"/>
          <w:sz w:val="18"/>
          <w:szCs w:val="18"/>
        </w:rPr>
      </w:pPr>
      <w:r w:rsidRPr="00A40CCB">
        <w:rPr>
          <w:rFonts w:cs="Arial"/>
          <w:sz w:val="18"/>
          <w:szCs w:val="18"/>
        </w:rPr>
        <w:t>Institute and the School of Public Administration, University of Victoria, June 14.</w:t>
      </w:r>
    </w:p>
    <w:p w:rsidR="001948C1" w:rsidRPr="00A40CCB" w:rsidRDefault="00306059" w:rsidP="00016E6B">
      <w:pPr>
        <w:spacing w:line="360" w:lineRule="auto"/>
        <w:jc w:val="both"/>
        <w:rPr>
          <w:rFonts w:cs="Arial"/>
          <w:sz w:val="18"/>
          <w:szCs w:val="18"/>
        </w:rPr>
      </w:pPr>
      <w:r>
        <w:rPr>
          <w:rFonts w:cs="Arial"/>
          <w:sz w:val="18"/>
          <w:szCs w:val="18"/>
        </w:rPr>
        <w:t>-</w:t>
      </w:r>
      <w:r w:rsidR="001948C1" w:rsidRPr="00A40CCB">
        <w:rPr>
          <w:rFonts w:cs="Arial"/>
          <w:sz w:val="18"/>
          <w:szCs w:val="18"/>
        </w:rPr>
        <w:t xml:space="preserve">British Columbia, (2000), “Assent Proposals”, in </w:t>
      </w:r>
      <w:r w:rsidR="001948C1" w:rsidRPr="00A40CCB">
        <w:rPr>
          <w:rFonts w:cs="Arial"/>
          <w:i/>
          <w:sz w:val="18"/>
          <w:szCs w:val="18"/>
        </w:rPr>
        <w:t>Ministry of Municipal Affairs Issue Summaries and Recommendations for Symposium on New Local Government Legislation March 1-2</w:t>
      </w:r>
      <w:r w:rsidR="001948C1" w:rsidRPr="00A40CCB">
        <w:rPr>
          <w:rFonts w:cs="Arial"/>
          <w:sz w:val="18"/>
          <w:szCs w:val="18"/>
        </w:rPr>
        <w:t>,  Victoria: Ministry of Municipal Affairs.</w:t>
      </w:r>
    </w:p>
    <w:p w:rsidR="001948C1" w:rsidRPr="00A40CCB" w:rsidRDefault="00306059" w:rsidP="00016E6B">
      <w:pPr>
        <w:spacing w:after="120" w:line="360" w:lineRule="auto"/>
        <w:ind w:left="720" w:hanging="720"/>
        <w:jc w:val="both"/>
        <w:rPr>
          <w:rFonts w:cs="Arial"/>
          <w:sz w:val="18"/>
          <w:szCs w:val="18"/>
          <w:lang w:val="en-GB"/>
        </w:rPr>
      </w:pPr>
      <w:r>
        <w:rPr>
          <w:rFonts w:cs="Arial"/>
          <w:sz w:val="18"/>
          <w:szCs w:val="18"/>
          <w:lang w:val="en-GB"/>
        </w:rPr>
        <w:t>-</w:t>
      </w:r>
      <w:r w:rsidR="001948C1" w:rsidRPr="00A40CCB">
        <w:rPr>
          <w:rFonts w:cs="Arial"/>
          <w:sz w:val="18"/>
          <w:szCs w:val="18"/>
          <w:lang w:val="en-GB"/>
        </w:rPr>
        <w:t>Campbell, G. 2001. Premier Gordon Campbell Speech at Cabinet Swearing-In Ceremony, 5 June. At: www.gov.bc.ca/prem/popt/speech/June_5_Premier _speech.htm</w:t>
      </w:r>
    </w:p>
    <w:p w:rsidR="001948C1" w:rsidRPr="00A40CCB" w:rsidRDefault="00306059" w:rsidP="00016E6B">
      <w:pPr>
        <w:spacing w:after="120" w:line="360" w:lineRule="auto"/>
        <w:ind w:left="720" w:hanging="720"/>
        <w:jc w:val="both"/>
        <w:rPr>
          <w:rFonts w:cs="Arial"/>
          <w:sz w:val="18"/>
          <w:szCs w:val="18"/>
          <w:lang w:val="en-GB"/>
        </w:rPr>
      </w:pPr>
      <w:r>
        <w:rPr>
          <w:rFonts w:cs="Arial"/>
          <w:sz w:val="18"/>
          <w:szCs w:val="18"/>
          <w:lang w:val="en-GB"/>
        </w:rPr>
        <w:t>-</w:t>
      </w:r>
      <w:r w:rsidR="001948C1" w:rsidRPr="00A40CCB">
        <w:rPr>
          <w:rFonts w:cs="Arial"/>
          <w:sz w:val="18"/>
          <w:szCs w:val="18"/>
          <w:lang w:val="en-GB"/>
        </w:rPr>
        <w:t xml:space="preserve">Canadian Federation of Mayors and Municipalities. 1976. </w:t>
      </w:r>
      <w:r w:rsidR="001948C1" w:rsidRPr="00A40CCB">
        <w:rPr>
          <w:rFonts w:cs="Arial"/>
          <w:i/>
          <w:sz w:val="18"/>
          <w:szCs w:val="18"/>
          <w:lang w:val="en-GB"/>
        </w:rPr>
        <w:t>Puppets on a Shoestring: The Effects on Municipal Government of Canada’s System of Public Finance</w:t>
      </w:r>
      <w:r w:rsidR="001948C1" w:rsidRPr="00A40CCB">
        <w:rPr>
          <w:rFonts w:cs="Arial"/>
          <w:sz w:val="18"/>
          <w:szCs w:val="18"/>
          <w:lang w:val="en-GB"/>
        </w:rPr>
        <w:t>. Ottawa: Canadian Federation of Mayors and Municipalities.</w:t>
      </w:r>
    </w:p>
    <w:p w:rsidR="001948C1" w:rsidRPr="00A40CCB" w:rsidRDefault="00306059" w:rsidP="00016E6B">
      <w:pPr>
        <w:spacing w:after="120" w:line="360" w:lineRule="auto"/>
        <w:ind w:left="720" w:hanging="720"/>
        <w:jc w:val="both"/>
        <w:rPr>
          <w:rFonts w:cs="Arial"/>
          <w:sz w:val="18"/>
          <w:szCs w:val="18"/>
          <w:lang w:val="en-GB"/>
        </w:rPr>
      </w:pPr>
      <w:r>
        <w:rPr>
          <w:rFonts w:cs="Arial"/>
          <w:sz w:val="18"/>
          <w:szCs w:val="18"/>
          <w:lang w:val="en-GB"/>
        </w:rPr>
        <w:t>-</w:t>
      </w:r>
      <w:r w:rsidR="001948C1" w:rsidRPr="00A40CCB">
        <w:rPr>
          <w:rFonts w:cs="Arial"/>
          <w:sz w:val="18"/>
          <w:szCs w:val="18"/>
          <w:lang w:val="en-GB"/>
        </w:rPr>
        <w:t xml:space="preserve">City of Vancouver. 1996. </w:t>
      </w:r>
      <w:r w:rsidR="001948C1" w:rsidRPr="00A40CCB">
        <w:rPr>
          <w:rFonts w:cs="Arial"/>
          <w:i/>
          <w:sz w:val="18"/>
          <w:szCs w:val="18"/>
          <w:lang w:val="en-GB"/>
        </w:rPr>
        <w:t>Administrative Report: Amendment to Election Procedures Bylaws</w:t>
      </w:r>
      <w:r w:rsidR="001948C1" w:rsidRPr="00A40CCB">
        <w:rPr>
          <w:rFonts w:cs="Arial"/>
          <w:sz w:val="18"/>
          <w:szCs w:val="18"/>
          <w:lang w:val="en-GB"/>
        </w:rPr>
        <w:t>. Vancouver, 9 July.</w:t>
      </w:r>
    </w:p>
    <w:p w:rsidR="001948C1" w:rsidRPr="00A40CCB" w:rsidRDefault="00306059" w:rsidP="00016E6B">
      <w:pPr>
        <w:spacing w:after="120" w:line="360" w:lineRule="auto"/>
        <w:ind w:left="720" w:hanging="720"/>
        <w:jc w:val="both"/>
        <w:rPr>
          <w:rFonts w:cs="Arial"/>
          <w:sz w:val="18"/>
          <w:szCs w:val="18"/>
          <w:lang w:val="en-GB"/>
        </w:rPr>
      </w:pPr>
      <w:r>
        <w:rPr>
          <w:rFonts w:cs="Arial"/>
          <w:sz w:val="18"/>
          <w:szCs w:val="18"/>
          <w:lang w:val="en-GB"/>
        </w:rPr>
        <w:t>-</w:t>
      </w:r>
      <w:r w:rsidR="001948C1" w:rsidRPr="00A40CCB">
        <w:rPr>
          <w:rFonts w:cs="Arial"/>
          <w:sz w:val="18"/>
          <w:szCs w:val="18"/>
          <w:lang w:val="en-GB"/>
        </w:rPr>
        <w:t xml:space="preserve">Craig, G.M., ed. 1982. </w:t>
      </w:r>
      <w:r w:rsidR="001948C1" w:rsidRPr="00A40CCB">
        <w:rPr>
          <w:rFonts w:cs="Arial"/>
          <w:i/>
          <w:sz w:val="18"/>
          <w:szCs w:val="18"/>
          <w:lang w:val="en-GB"/>
        </w:rPr>
        <w:t>Lord Durham’s Report</w:t>
      </w:r>
      <w:r w:rsidR="001948C1" w:rsidRPr="00A40CCB">
        <w:rPr>
          <w:rFonts w:cs="Arial"/>
          <w:sz w:val="18"/>
          <w:szCs w:val="18"/>
          <w:lang w:val="en-GB"/>
        </w:rPr>
        <w:t>. Ottawa: Carleton University Press.</w:t>
      </w:r>
    </w:p>
    <w:p w:rsidR="001948C1" w:rsidRPr="00A40CCB" w:rsidRDefault="00306059" w:rsidP="00016E6B">
      <w:pPr>
        <w:spacing w:after="120" w:line="360" w:lineRule="auto"/>
        <w:ind w:left="720" w:hanging="720"/>
        <w:jc w:val="both"/>
        <w:rPr>
          <w:rFonts w:cs="Arial"/>
          <w:sz w:val="18"/>
          <w:szCs w:val="18"/>
          <w:lang w:val="en-GB"/>
        </w:rPr>
      </w:pPr>
      <w:r>
        <w:rPr>
          <w:rFonts w:cs="Arial"/>
          <w:sz w:val="18"/>
          <w:szCs w:val="18"/>
          <w:lang w:val="en-GB"/>
        </w:rPr>
        <w:t>-</w:t>
      </w:r>
      <w:r w:rsidR="001948C1" w:rsidRPr="00A40CCB">
        <w:rPr>
          <w:rFonts w:cs="Arial"/>
          <w:sz w:val="18"/>
          <w:szCs w:val="18"/>
          <w:lang w:val="en-GB"/>
        </w:rPr>
        <w:t>Fershau, J. 2003. ‘Muddling through Urban Regionalism: Rational Actors, Arenas without Rules and Transportation Governance in the Greater Vancouver Regional District’, Master’s thesis, Simon Fraser University.</w:t>
      </w:r>
    </w:p>
    <w:p w:rsidR="001948C1" w:rsidRPr="00A40CCB" w:rsidRDefault="00306059" w:rsidP="00016E6B">
      <w:pPr>
        <w:spacing w:after="120" w:line="360" w:lineRule="auto"/>
        <w:ind w:left="720" w:hanging="720"/>
        <w:jc w:val="both"/>
        <w:rPr>
          <w:rFonts w:cs="Arial"/>
          <w:sz w:val="18"/>
          <w:szCs w:val="18"/>
          <w:lang w:val="en-GB"/>
        </w:rPr>
      </w:pPr>
      <w:r>
        <w:rPr>
          <w:rFonts w:cs="Arial"/>
          <w:sz w:val="18"/>
          <w:szCs w:val="18"/>
          <w:lang w:val="en-GB"/>
        </w:rPr>
        <w:t>-</w:t>
      </w:r>
      <w:r w:rsidR="001948C1" w:rsidRPr="00A40CCB">
        <w:rPr>
          <w:rFonts w:cs="Arial"/>
          <w:sz w:val="18"/>
          <w:szCs w:val="18"/>
          <w:lang w:val="en-GB"/>
        </w:rPr>
        <w:t xml:space="preserve">Fry, E., L. Radebaugh, and P. Soldatos, eds. 1989. </w:t>
      </w:r>
      <w:r w:rsidR="001948C1" w:rsidRPr="00A40CCB">
        <w:rPr>
          <w:rFonts w:cs="Arial"/>
          <w:i/>
          <w:sz w:val="18"/>
          <w:szCs w:val="18"/>
          <w:lang w:val="en-GB"/>
        </w:rPr>
        <w:t>The New International Cities Era: The Global Activities of North American Municipal Government</w:t>
      </w:r>
      <w:r w:rsidR="001948C1" w:rsidRPr="00A40CCB">
        <w:rPr>
          <w:rFonts w:cs="Arial"/>
          <w:sz w:val="18"/>
          <w:szCs w:val="18"/>
          <w:lang w:val="en-GB"/>
        </w:rPr>
        <w:t>. Provo, Utah: Brigham Young University Press.</w:t>
      </w:r>
    </w:p>
    <w:p w:rsidR="001948C1" w:rsidRPr="00A40CCB" w:rsidRDefault="00306059" w:rsidP="00016E6B">
      <w:pPr>
        <w:spacing w:after="120" w:line="360" w:lineRule="auto"/>
        <w:ind w:left="720" w:hanging="720"/>
        <w:jc w:val="both"/>
        <w:rPr>
          <w:rFonts w:cs="Arial"/>
          <w:sz w:val="18"/>
          <w:szCs w:val="18"/>
          <w:lang w:val="en-GB"/>
        </w:rPr>
      </w:pPr>
      <w:r>
        <w:rPr>
          <w:rFonts w:cs="Arial"/>
          <w:sz w:val="18"/>
          <w:szCs w:val="18"/>
          <w:lang w:val="en-GB"/>
        </w:rPr>
        <w:t>-</w:t>
      </w:r>
      <w:r w:rsidR="001948C1" w:rsidRPr="00A40CCB">
        <w:rPr>
          <w:rFonts w:cs="Arial"/>
          <w:sz w:val="18"/>
          <w:szCs w:val="18"/>
          <w:lang w:val="en-GB"/>
        </w:rPr>
        <w:t xml:space="preserve">Ginnell, K., and P.J. Smith. 2001. ‘Habitat@25: Lessons (Still) from Vancouver’, in </w:t>
      </w:r>
      <w:r w:rsidR="001948C1" w:rsidRPr="00A40CCB">
        <w:rPr>
          <w:rFonts w:cs="Arial"/>
          <w:i/>
          <w:sz w:val="18"/>
          <w:szCs w:val="18"/>
          <w:lang w:val="en-GB"/>
        </w:rPr>
        <w:t>Shelter and Governance—Report for the Special Session of the UN General Assembly for an Overall Review and Appraisal of the Implementation of the Habitat Agenda</w:t>
      </w:r>
      <w:r w:rsidR="001948C1" w:rsidRPr="00A40CCB">
        <w:rPr>
          <w:rFonts w:cs="Arial"/>
          <w:sz w:val="18"/>
          <w:szCs w:val="18"/>
          <w:lang w:val="en-GB"/>
        </w:rPr>
        <w:t>. Vancouver: Institute of Governance Studies, Simon Fraser University, and Centre for Human Settlements, University of British Columbia, June.</w:t>
      </w:r>
    </w:p>
    <w:p w:rsidR="001948C1" w:rsidRPr="00A40CCB" w:rsidRDefault="00306059" w:rsidP="00016E6B">
      <w:pPr>
        <w:spacing w:after="120" w:line="360" w:lineRule="auto"/>
        <w:ind w:left="720" w:hanging="720"/>
        <w:jc w:val="both"/>
        <w:rPr>
          <w:rFonts w:cs="Arial"/>
          <w:sz w:val="18"/>
          <w:szCs w:val="18"/>
          <w:lang w:val="en-GB"/>
        </w:rPr>
      </w:pPr>
      <w:r>
        <w:rPr>
          <w:rFonts w:cs="Arial"/>
          <w:sz w:val="18"/>
          <w:szCs w:val="18"/>
          <w:lang w:val="en-GB"/>
        </w:rPr>
        <w:t>-</w:t>
      </w:r>
      <w:r w:rsidR="001948C1" w:rsidRPr="00A40CCB">
        <w:rPr>
          <w:rFonts w:cs="Arial"/>
          <w:sz w:val="18"/>
          <w:szCs w:val="18"/>
          <w:lang w:val="en-GB"/>
        </w:rPr>
        <w:t xml:space="preserve">Hobbes, H. 1994. </w:t>
      </w:r>
      <w:r w:rsidR="001948C1" w:rsidRPr="00A40CCB">
        <w:rPr>
          <w:rFonts w:cs="Arial"/>
          <w:i/>
          <w:sz w:val="18"/>
          <w:szCs w:val="18"/>
          <w:lang w:val="en-GB"/>
        </w:rPr>
        <w:t>City Hall Going Abroad</w:t>
      </w:r>
      <w:r w:rsidR="001948C1" w:rsidRPr="00A40CCB">
        <w:rPr>
          <w:rFonts w:cs="Arial"/>
          <w:sz w:val="18"/>
          <w:szCs w:val="18"/>
          <w:lang w:val="en-GB"/>
        </w:rPr>
        <w:t>. Thousand Oaks, Calif.: Sage.</w:t>
      </w:r>
    </w:p>
    <w:p w:rsidR="001948C1" w:rsidRPr="00A40CCB" w:rsidRDefault="00306059" w:rsidP="00016E6B">
      <w:pPr>
        <w:spacing w:after="120" w:line="360" w:lineRule="auto"/>
        <w:ind w:left="720" w:hanging="720"/>
        <w:jc w:val="both"/>
        <w:rPr>
          <w:rFonts w:cs="Arial"/>
          <w:sz w:val="18"/>
          <w:szCs w:val="18"/>
          <w:lang w:val="en-GB"/>
        </w:rPr>
      </w:pPr>
      <w:r>
        <w:rPr>
          <w:rFonts w:cs="Arial"/>
          <w:sz w:val="18"/>
          <w:szCs w:val="18"/>
          <w:lang w:val="en-GB"/>
        </w:rPr>
        <w:t>-</w:t>
      </w:r>
      <w:r w:rsidR="001948C1" w:rsidRPr="00A40CCB">
        <w:rPr>
          <w:rFonts w:cs="Arial"/>
          <w:sz w:val="18"/>
          <w:szCs w:val="18"/>
          <w:lang w:val="en-GB"/>
        </w:rPr>
        <w:t xml:space="preserve">Local Electoral Reform Coalition 2000. </w:t>
      </w:r>
      <w:r w:rsidR="001948C1" w:rsidRPr="00A40CCB">
        <w:rPr>
          <w:rFonts w:cs="Arial"/>
          <w:i/>
          <w:sz w:val="18"/>
          <w:szCs w:val="18"/>
          <w:lang w:val="en-GB"/>
        </w:rPr>
        <w:t>Draft Local Elections Transparency Act</w:t>
      </w:r>
      <w:r w:rsidR="001948C1" w:rsidRPr="00A40CCB">
        <w:rPr>
          <w:rFonts w:cs="Arial"/>
          <w:sz w:val="18"/>
          <w:szCs w:val="18"/>
          <w:lang w:val="en-GB"/>
        </w:rPr>
        <w:t>. Vancouver: Local Electoral Reform Coalition.</w:t>
      </w:r>
    </w:p>
    <w:p w:rsidR="001948C1" w:rsidRPr="00A40CCB" w:rsidRDefault="00306059" w:rsidP="00016E6B">
      <w:pPr>
        <w:spacing w:after="120" w:line="360" w:lineRule="auto"/>
        <w:ind w:left="720" w:hanging="720"/>
        <w:jc w:val="both"/>
        <w:rPr>
          <w:rFonts w:cs="Arial"/>
          <w:sz w:val="18"/>
          <w:szCs w:val="18"/>
          <w:lang w:val="en-GB"/>
        </w:rPr>
      </w:pPr>
      <w:r>
        <w:rPr>
          <w:rFonts w:cs="Arial"/>
          <w:sz w:val="18"/>
          <w:szCs w:val="18"/>
          <w:lang w:val="en-GB"/>
        </w:rPr>
        <w:t>-</w:t>
      </w:r>
      <w:r w:rsidR="001948C1" w:rsidRPr="00A40CCB">
        <w:rPr>
          <w:rFonts w:cs="Arial"/>
          <w:sz w:val="18"/>
          <w:szCs w:val="18"/>
          <w:lang w:val="en-GB"/>
        </w:rPr>
        <w:t xml:space="preserve">Martin, P. 2002. ‘Keynote Address to the Federation of Canadian Municipalities’, Hamilton, Ont., 31 May. At: </w:t>
      </w:r>
      <w:hyperlink r:id="rId12" w:history="1">
        <w:r w:rsidR="001948C1" w:rsidRPr="00A40CCB">
          <w:rPr>
            <w:rStyle w:val="Hyperlink"/>
            <w:rFonts w:eastAsiaTheme="majorEastAsia" w:cs="Arial"/>
            <w:color w:val="000000"/>
            <w:sz w:val="18"/>
            <w:szCs w:val="18"/>
            <w:lang w:val="en-GB"/>
          </w:rPr>
          <w:t>www.fin.gc.ca/news02/02-046e.html</w:t>
        </w:r>
      </w:hyperlink>
    </w:p>
    <w:p w:rsidR="001948C1" w:rsidRPr="00A40CCB" w:rsidRDefault="00306059" w:rsidP="00016E6B">
      <w:pPr>
        <w:spacing w:after="120" w:line="360" w:lineRule="auto"/>
        <w:ind w:left="720" w:hanging="720"/>
        <w:jc w:val="both"/>
        <w:rPr>
          <w:rFonts w:cs="Arial"/>
          <w:sz w:val="18"/>
          <w:szCs w:val="18"/>
          <w:lang w:val="en-GB"/>
        </w:rPr>
      </w:pPr>
      <w:r>
        <w:rPr>
          <w:rFonts w:cs="Arial"/>
          <w:sz w:val="18"/>
          <w:szCs w:val="18"/>
          <w:lang w:val="en-GB"/>
        </w:rPr>
        <w:t>-</w:t>
      </w:r>
      <w:r w:rsidR="001948C1" w:rsidRPr="00A40CCB">
        <w:rPr>
          <w:rFonts w:cs="Arial"/>
          <w:sz w:val="18"/>
          <w:szCs w:val="18"/>
          <w:lang w:val="en-GB"/>
        </w:rPr>
        <w:t xml:space="preserve">Ministry for Community, Aboriginal and Women’s Services. 2002. </w:t>
      </w:r>
      <w:r w:rsidR="001948C1" w:rsidRPr="00A40CCB">
        <w:rPr>
          <w:rFonts w:cs="Arial"/>
          <w:i/>
          <w:sz w:val="18"/>
          <w:szCs w:val="18"/>
          <w:lang w:val="en-GB"/>
        </w:rPr>
        <w:t>The Community Charter: A New Legislative Framework for Local Government</w:t>
      </w:r>
      <w:r w:rsidR="001948C1" w:rsidRPr="00A40CCB">
        <w:rPr>
          <w:rFonts w:cs="Arial"/>
          <w:sz w:val="18"/>
          <w:szCs w:val="18"/>
          <w:lang w:val="en-GB"/>
        </w:rPr>
        <w:t>. Victoria: Queen’s Printer.</w:t>
      </w:r>
    </w:p>
    <w:p w:rsidR="001948C1" w:rsidRPr="00A40CCB" w:rsidRDefault="00306059" w:rsidP="00016E6B">
      <w:pPr>
        <w:spacing w:after="120" w:line="360" w:lineRule="auto"/>
        <w:ind w:left="720" w:hanging="720"/>
        <w:jc w:val="both"/>
        <w:rPr>
          <w:rFonts w:cs="Arial"/>
          <w:sz w:val="18"/>
          <w:szCs w:val="18"/>
          <w:lang w:val="en-GB"/>
        </w:rPr>
      </w:pPr>
      <w:r>
        <w:rPr>
          <w:rFonts w:cs="Arial"/>
          <w:sz w:val="18"/>
          <w:szCs w:val="18"/>
          <w:lang w:val="en-GB"/>
        </w:rPr>
        <w:t>-</w:t>
      </w:r>
      <w:r w:rsidR="001948C1" w:rsidRPr="00A40CCB">
        <w:rPr>
          <w:rFonts w:cs="Arial"/>
          <w:sz w:val="18"/>
          <w:szCs w:val="18"/>
          <w:lang w:val="en-GB"/>
        </w:rPr>
        <w:t xml:space="preserve">Ministry of Municipal Affairs. 1997a. </w:t>
      </w:r>
      <w:r w:rsidR="001948C1" w:rsidRPr="00A40CCB">
        <w:rPr>
          <w:rFonts w:cs="Arial"/>
          <w:i/>
          <w:sz w:val="18"/>
          <w:szCs w:val="18"/>
          <w:lang w:val="en-GB"/>
        </w:rPr>
        <w:t>Getting Our Municipal Act Together: A Discussion Paper On Principles</w:t>
      </w:r>
      <w:r w:rsidR="001948C1" w:rsidRPr="00A40CCB">
        <w:rPr>
          <w:rFonts w:cs="Arial"/>
          <w:sz w:val="18"/>
          <w:szCs w:val="18"/>
          <w:lang w:val="en-GB"/>
        </w:rPr>
        <w:t xml:space="preserve">. Victoria: Queen’s Printer, Oct. </w:t>
      </w:r>
    </w:p>
    <w:p w:rsidR="001948C1" w:rsidRPr="00A40CCB" w:rsidRDefault="001948C1" w:rsidP="00016E6B">
      <w:pPr>
        <w:spacing w:after="120" w:line="360" w:lineRule="auto"/>
        <w:ind w:left="720" w:hanging="720"/>
        <w:jc w:val="both"/>
        <w:rPr>
          <w:rFonts w:cs="Arial"/>
          <w:sz w:val="18"/>
          <w:szCs w:val="18"/>
          <w:lang w:val="en-GB"/>
        </w:rPr>
      </w:pPr>
      <w:r w:rsidRPr="00A40CCB">
        <w:rPr>
          <w:rFonts w:cs="Arial"/>
          <w:sz w:val="18"/>
          <w:szCs w:val="18"/>
          <w:lang w:val="en-GB"/>
        </w:rPr>
        <w:lastRenderedPageBreak/>
        <w:t xml:space="preserve">———. 1997b. </w:t>
      </w:r>
      <w:r w:rsidRPr="00A40CCB">
        <w:rPr>
          <w:rFonts w:cs="Arial"/>
          <w:i/>
          <w:sz w:val="18"/>
          <w:szCs w:val="18"/>
          <w:lang w:val="en-GB"/>
        </w:rPr>
        <w:t>Master Implementation Agreement between the Province and the Greater Vancouver Regional District</w:t>
      </w:r>
      <w:r w:rsidRPr="00A40CCB">
        <w:rPr>
          <w:rFonts w:cs="Arial"/>
          <w:sz w:val="18"/>
          <w:szCs w:val="18"/>
          <w:lang w:val="en-GB"/>
        </w:rPr>
        <w:t>. Victoria: Ministry of Municipal Affairs.</w:t>
      </w:r>
    </w:p>
    <w:p w:rsidR="001948C1" w:rsidRPr="00A40CCB" w:rsidRDefault="001948C1" w:rsidP="00016E6B">
      <w:pPr>
        <w:spacing w:after="120" w:line="360" w:lineRule="auto"/>
        <w:ind w:left="720" w:hanging="720"/>
        <w:jc w:val="both"/>
        <w:rPr>
          <w:rFonts w:cs="Arial"/>
          <w:sz w:val="18"/>
          <w:szCs w:val="18"/>
          <w:lang w:val="en-GB"/>
        </w:rPr>
      </w:pPr>
      <w:r w:rsidRPr="00A40CCB">
        <w:rPr>
          <w:rFonts w:cs="Arial"/>
          <w:sz w:val="18"/>
          <w:szCs w:val="18"/>
          <w:lang w:val="en-GB"/>
        </w:rPr>
        <w:t>———. 1999. ‘Statement from Jenny Kwan, Minister of Municipal Affairs’, press release, 17 Feb. At: www.marh.gov.bc.ca/LGPOLICY/ MAR/</w:t>
      </w:r>
    </w:p>
    <w:p w:rsidR="001948C1" w:rsidRPr="00A40CCB" w:rsidRDefault="001948C1" w:rsidP="00016E6B">
      <w:pPr>
        <w:spacing w:after="120" w:line="360" w:lineRule="auto"/>
        <w:ind w:left="720" w:hanging="720"/>
        <w:jc w:val="both"/>
        <w:rPr>
          <w:rFonts w:cs="Arial"/>
          <w:sz w:val="18"/>
          <w:szCs w:val="18"/>
          <w:lang w:val="en-GB"/>
        </w:rPr>
      </w:pPr>
      <w:r w:rsidRPr="00A40CCB">
        <w:rPr>
          <w:rFonts w:cs="Arial"/>
          <w:sz w:val="18"/>
          <w:szCs w:val="18"/>
          <w:lang w:val="en-GB"/>
        </w:rPr>
        <w:t xml:space="preserve">———, Growth Strategies Office. 1998. </w:t>
      </w:r>
      <w:r w:rsidRPr="00A40CCB">
        <w:rPr>
          <w:rFonts w:cs="Arial"/>
          <w:i/>
          <w:sz w:val="18"/>
          <w:szCs w:val="18"/>
          <w:lang w:val="en-GB"/>
        </w:rPr>
        <w:t>An Explanatory Guide to BC’s Growth Strategies Act</w:t>
      </w:r>
      <w:r w:rsidRPr="00A40CCB">
        <w:rPr>
          <w:rFonts w:cs="Arial"/>
          <w:sz w:val="18"/>
          <w:szCs w:val="18"/>
          <w:lang w:val="en-GB"/>
        </w:rPr>
        <w:t>. Victoria: Queen’s Printer.</w:t>
      </w:r>
    </w:p>
    <w:p w:rsidR="001948C1" w:rsidRPr="00A40CCB" w:rsidRDefault="00306059" w:rsidP="00016E6B">
      <w:pPr>
        <w:spacing w:after="120" w:line="360" w:lineRule="auto"/>
        <w:ind w:left="720" w:hanging="720"/>
        <w:jc w:val="both"/>
        <w:rPr>
          <w:rFonts w:cs="Arial"/>
          <w:sz w:val="18"/>
          <w:szCs w:val="18"/>
          <w:lang w:val="en-GB"/>
        </w:rPr>
      </w:pPr>
      <w:r>
        <w:rPr>
          <w:rFonts w:cs="Arial"/>
          <w:sz w:val="18"/>
          <w:szCs w:val="18"/>
          <w:lang w:val="en-GB"/>
        </w:rPr>
        <w:t>-</w:t>
      </w:r>
      <w:r w:rsidR="001948C1" w:rsidRPr="00A40CCB">
        <w:rPr>
          <w:rFonts w:cs="Arial"/>
          <w:sz w:val="18"/>
          <w:szCs w:val="18"/>
          <w:lang w:val="en-GB"/>
        </w:rPr>
        <w:t xml:space="preserve">Oberlander, H.P., and P.J. Smith. 1993. ‘Governing Metropolitan Vancouver: Regional Intergovernmental Relations in British Columbia’, in D. Rothblatt and A. Sancton, eds, </w:t>
      </w:r>
      <w:r w:rsidR="001948C1" w:rsidRPr="00A40CCB">
        <w:rPr>
          <w:rFonts w:cs="Arial"/>
          <w:i/>
          <w:sz w:val="18"/>
          <w:szCs w:val="18"/>
          <w:lang w:val="en-GB"/>
        </w:rPr>
        <w:t>Metropolitan Governance: American/Canadian Intergovernmental Perspectives</w:t>
      </w:r>
      <w:r w:rsidR="001948C1" w:rsidRPr="00A40CCB">
        <w:rPr>
          <w:rFonts w:cs="Arial"/>
          <w:sz w:val="18"/>
          <w:szCs w:val="18"/>
          <w:lang w:val="en-GB"/>
        </w:rPr>
        <w:t xml:space="preserve">. Berkeley: Institute of Governmental Studies, University of California, 329–73. </w:t>
      </w:r>
    </w:p>
    <w:p w:rsidR="001948C1" w:rsidRPr="00A40CCB" w:rsidRDefault="00306059" w:rsidP="00016E6B">
      <w:pPr>
        <w:spacing w:after="120" w:line="360" w:lineRule="auto"/>
        <w:ind w:left="720" w:hanging="720"/>
        <w:jc w:val="both"/>
        <w:rPr>
          <w:rFonts w:cs="Arial"/>
          <w:sz w:val="18"/>
          <w:szCs w:val="18"/>
          <w:lang w:val="en-GB"/>
        </w:rPr>
      </w:pPr>
      <w:r>
        <w:rPr>
          <w:rFonts w:cs="Arial"/>
          <w:sz w:val="18"/>
          <w:szCs w:val="18"/>
          <w:lang w:val="en-GB"/>
        </w:rPr>
        <w:t>-</w:t>
      </w:r>
      <w:r w:rsidR="001948C1" w:rsidRPr="00A40CCB">
        <w:rPr>
          <w:rFonts w:cs="Arial"/>
          <w:sz w:val="18"/>
          <w:szCs w:val="18"/>
          <w:lang w:val="en-GB"/>
        </w:rPr>
        <w:t>Paget, G. 2004. Executive Director, Governance and Structure Division, BC Ministry of Community, Aboriginal and Women’s Services, interview, 13 Feb.</w:t>
      </w:r>
    </w:p>
    <w:p w:rsidR="001948C1" w:rsidRPr="00A40CCB" w:rsidRDefault="00306059" w:rsidP="00016E6B">
      <w:pPr>
        <w:pStyle w:val="BodyTextIndent"/>
        <w:spacing w:line="360" w:lineRule="auto"/>
        <w:jc w:val="both"/>
        <w:rPr>
          <w:rFonts w:ascii="Arial" w:hAnsi="Arial" w:cs="Arial"/>
          <w:sz w:val="18"/>
          <w:szCs w:val="18"/>
        </w:rPr>
      </w:pPr>
      <w:r>
        <w:rPr>
          <w:rFonts w:ascii="Arial" w:hAnsi="Arial" w:cs="Arial"/>
          <w:sz w:val="18"/>
          <w:szCs w:val="18"/>
        </w:rPr>
        <w:t>-</w:t>
      </w:r>
      <w:r w:rsidR="001948C1" w:rsidRPr="00A40CCB">
        <w:rPr>
          <w:rFonts w:ascii="Arial" w:hAnsi="Arial" w:cs="Arial"/>
          <w:sz w:val="18"/>
          <w:szCs w:val="18"/>
        </w:rPr>
        <w:t>Rock, C. 2001. TransLink Manager, interview, 27 Feb.</w:t>
      </w:r>
    </w:p>
    <w:p w:rsidR="001948C1" w:rsidRPr="00A40CCB" w:rsidRDefault="00306059" w:rsidP="00016E6B">
      <w:pPr>
        <w:spacing w:after="120" w:line="360" w:lineRule="auto"/>
        <w:ind w:left="720" w:hanging="720"/>
        <w:jc w:val="both"/>
        <w:rPr>
          <w:rFonts w:cs="Arial"/>
          <w:sz w:val="18"/>
          <w:szCs w:val="18"/>
          <w:lang w:val="en-GB"/>
        </w:rPr>
      </w:pPr>
      <w:r>
        <w:rPr>
          <w:rFonts w:cs="Arial"/>
          <w:sz w:val="18"/>
          <w:szCs w:val="18"/>
          <w:lang w:val="en-GB"/>
        </w:rPr>
        <w:t>-</w:t>
      </w:r>
      <w:r w:rsidR="001948C1" w:rsidRPr="00A40CCB">
        <w:rPr>
          <w:rFonts w:cs="Arial"/>
          <w:sz w:val="18"/>
          <w:szCs w:val="18"/>
          <w:lang w:val="en-GB"/>
        </w:rPr>
        <w:t xml:space="preserve">Razin, E., and P.J. Smith, eds. 2005. </w:t>
      </w:r>
      <w:r w:rsidR="001948C1" w:rsidRPr="00A40CCB">
        <w:rPr>
          <w:rFonts w:cs="Arial"/>
          <w:i/>
          <w:sz w:val="18"/>
          <w:szCs w:val="18"/>
          <w:lang w:val="en-GB"/>
        </w:rPr>
        <w:t>Metropolitan Governing: Canadian Cases, Comparative Lessons</w:t>
      </w:r>
      <w:r w:rsidR="001948C1" w:rsidRPr="00A40CCB">
        <w:rPr>
          <w:rFonts w:cs="Arial"/>
          <w:sz w:val="18"/>
          <w:szCs w:val="18"/>
          <w:lang w:val="en-GB"/>
        </w:rPr>
        <w:t>. Jerusalem: Magnes Press, Hebrew University of Jerusalem.</w:t>
      </w:r>
    </w:p>
    <w:p w:rsidR="001948C1" w:rsidRPr="00A40CCB" w:rsidRDefault="00306059" w:rsidP="00016E6B">
      <w:pPr>
        <w:spacing w:after="120" w:line="360" w:lineRule="auto"/>
        <w:ind w:left="720" w:hanging="720"/>
        <w:jc w:val="both"/>
        <w:rPr>
          <w:rFonts w:cs="Arial"/>
          <w:sz w:val="18"/>
          <w:szCs w:val="18"/>
          <w:lang w:val="en-GB"/>
        </w:rPr>
      </w:pPr>
      <w:r>
        <w:rPr>
          <w:rFonts w:cs="Arial"/>
          <w:sz w:val="18"/>
          <w:szCs w:val="18"/>
          <w:lang w:val="en-GB"/>
        </w:rPr>
        <w:t>-</w:t>
      </w:r>
      <w:r w:rsidR="001948C1" w:rsidRPr="00A40CCB">
        <w:rPr>
          <w:rFonts w:cs="Arial"/>
          <w:sz w:val="18"/>
          <w:szCs w:val="18"/>
          <w:lang w:val="en-GB"/>
        </w:rPr>
        <w:t xml:space="preserve">Royal Commission on Financial Management and Accountability (Lambert Commission). 1979. </w:t>
      </w:r>
      <w:r w:rsidR="001948C1" w:rsidRPr="00A40CCB">
        <w:rPr>
          <w:rFonts w:cs="Arial"/>
          <w:i/>
          <w:sz w:val="18"/>
          <w:szCs w:val="18"/>
          <w:lang w:val="en-GB"/>
        </w:rPr>
        <w:t>Report</w:t>
      </w:r>
      <w:r w:rsidR="001948C1" w:rsidRPr="00A40CCB">
        <w:rPr>
          <w:rFonts w:cs="Arial"/>
          <w:sz w:val="18"/>
          <w:szCs w:val="18"/>
          <w:lang w:val="en-GB"/>
        </w:rPr>
        <w:t>. Ottawa: Queen’s Printer.</w:t>
      </w:r>
    </w:p>
    <w:p w:rsidR="001948C1" w:rsidRPr="00A40CCB" w:rsidRDefault="00306059" w:rsidP="00016E6B">
      <w:pPr>
        <w:spacing w:after="120" w:line="360" w:lineRule="auto"/>
        <w:ind w:left="720" w:hanging="720"/>
        <w:jc w:val="both"/>
        <w:rPr>
          <w:rFonts w:cs="Arial"/>
          <w:sz w:val="18"/>
          <w:szCs w:val="18"/>
          <w:lang w:val="en-GB"/>
        </w:rPr>
      </w:pPr>
      <w:r>
        <w:rPr>
          <w:rFonts w:cs="Arial"/>
          <w:sz w:val="18"/>
          <w:szCs w:val="18"/>
          <w:lang w:val="en-GB"/>
        </w:rPr>
        <w:t>-</w:t>
      </w:r>
      <w:r w:rsidR="001948C1" w:rsidRPr="00A40CCB">
        <w:rPr>
          <w:rFonts w:cs="Arial"/>
          <w:sz w:val="18"/>
          <w:szCs w:val="18"/>
          <w:lang w:val="en-GB"/>
        </w:rPr>
        <w:t>Saddlemyer, K. 2002. Community Charter Council Member, interview, 27 July.</w:t>
      </w:r>
    </w:p>
    <w:p w:rsidR="001948C1" w:rsidRPr="00A40CCB" w:rsidRDefault="00306059" w:rsidP="00016E6B">
      <w:pPr>
        <w:spacing w:after="120" w:line="360" w:lineRule="auto"/>
        <w:ind w:left="720" w:hanging="720"/>
        <w:jc w:val="both"/>
        <w:rPr>
          <w:rFonts w:cs="Arial"/>
          <w:sz w:val="18"/>
          <w:szCs w:val="18"/>
          <w:lang w:val="en-GB"/>
        </w:rPr>
      </w:pPr>
      <w:r>
        <w:rPr>
          <w:rFonts w:cs="Arial"/>
          <w:sz w:val="18"/>
          <w:szCs w:val="18"/>
          <w:lang w:val="en-GB"/>
        </w:rPr>
        <w:t>-</w:t>
      </w:r>
      <w:r w:rsidR="001948C1" w:rsidRPr="00A40CCB">
        <w:rPr>
          <w:rFonts w:cs="Arial"/>
          <w:sz w:val="18"/>
          <w:szCs w:val="18"/>
          <w:lang w:val="en-GB"/>
        </w:rPr>
        <w:t xml:space="preserve">Self, P. 1977. </w:t>
      </w:r>
      <w:r w:rsidR="001948C1" w:rsidRPr="00A40CCB">
        <w:rPr>
          <w:rFonts w:cs="Arial"/>
          <w:i/>
          <w:sz w:val="18"/>
          <w:szCs w:val="18"/>
          <w:lang w:val="en-GB"/>
        </w:rPr>
        <w:t>Administrative Theories and Politics</w:t>
      </w:r>
      <w:r w:rsidR="001948C1" w:rsidRPr="00A40CCB">
        <w:rPr>
          <w:rFonts w:cs="Arial"/>
          <w:sz w:val="18"/>
          <w:szCs w:val="18"/>
          <w:lang w:val="en-GB"/>
        </w:rPr>
        <w:t xml:space="preserve">. London: Allen and Unwin. </w:t>
      </w:r>
    </w:p>
    <w:p w:rsidR="001948C1" w:rsidRPr="00A40CCB" w:rsidRDefault="00306059" w:rsidP="00016E6B">
      <w:pPr>
        <w:spacing w:after="120" w:line="360" w:lineRule="auto"/>
        <w:ind w:left="720" w:hanging="720"/>
        <w:jc w:val="both"/>
        <w:rPr>
          <w:rFonts w:cs="Arial"/>
          <w:sz w:val="18"/>
          <w:szCs w:val="18"/>
          <w:lang w:val="en-GB"/>
        </w:rPr>
      </w:pPr>
      <w:r>
        <w:rPr>
          <w:rFonts w:cs="Arial"/>
          <w:sz w:val="18"/>
          <w:szCs w:val="18"/>
          <w:lang w:val="en-GB"/>
        </w:rPr>
        <w:t>-</w:t>
      </w:r>
      <w:r w:rsidR="001948C1" w:rsidRPr="00A40CCB">
        <w:rPr>
          <w:rFonts w:cs="Arial"/>
          <w:sz w:val="18"/>
          <w:szCs w:val="18"/>
          <w:lang w:val="en-GB"/>
        </w:rPr>
        <w:t xml:space="preserve">Smith, P.J. 1992. ‘The Making of a Global City: Fifty Years of Constituent Diplomacy—The Case of Vancouver’, </w:t>
      </w:r>
      <w:r w:rsidR="001948C1" w:rsidRPr="00A40CCB">
        <w:rPr>
          <w:rFonts w:cs="Arial"/>
          <w:i/>
          <w:sz w:val="18"/>
          <w:szCs w:val="18"/>
          <w:lang w:val="en-GB"/>
        </w:rPr>
        <w:t>Canadian Journal of Urban Research</w:t>
      </w:r>
      <w:r w:rsidR="001948C1" w:rsidRPr="00A40CCB">
        <w:rPr>
          <w:rFonts w:cs="Arial"/>
          <w:sz w:val="18"/>
          <w:szCs w:val="18"/>
          <w:lang w:val="en-GB"/>
        </w:rPr>
        <w:t xml:space="preserve"> 1, 1: 90–112.</w:t>
      </w:r>
    </w:p>
    <w:p w:rsidR="001948C1" w:rsidRPr="00A40CCB" w:rsidRDefault="001948C1" w:rsidP="00016E6B">
      <w:pPr>
        <w:spacing w:after="120" w:line="360" w:lineRule="auto"/>
        <w:ind w:left="720" w:hanging="720"/>
        <w:jc w:val="both"/>
        <w:rPr>
          <w:rFonts w:cs="Arial"/>
          <w:sz w:val="18"/>
          <w:szCs w:val="18"/>
          <w:lang w:val="en-GB"/>
        </w:rPr>
      </w:pPr>
      <w:r w:rsidRPr="00A40CCB">
        <w:rPr>
          <w:rFonts w:cs="Arial"/>
          <w:sz w:val="18"/>
          <w:szCs w:val="18"/>
          <w:lang w:val="en-GB"/>
        </w:rPr>
        <w:t xml:space="preserve">———. 1993a. </w:t>
      </w:r>
      <w:r w:rsidRPr="00A40CCB">
        <w:rPr>
          <w:rFonts w:cs="Arial"/>
          <w:i/>
          <w:sz w:val="18"/>
          <w:szCs w:val="18"/>
          <w:lang w:val="en-GB"/>
        </w:rPr>
        <w:t>Redrawing the Map: Is Bigger Better?</w:t>
      </w:r>
      <w:r w:rsidRPr="00A40CCB">
        <w:rPr>
          <w:rFonts w:cs="Arial"/>
          <w:sz w:val="18"/>
          <w:szCs w:val="18"/>
          <w:lang w:val="en-GB"/>
        </w:rPr>
        <w:t xml:space="preserve"> Edmonton: Federation of Canadian Municipalities.</w:t>
      </w:r>
    </w:p>
    <w:p w:rsidR="001948C1" w:rsidRPr="00A40CCB" w:rsidRDefault="001948C1" w:rsidP="00016E6B">
      <w:pPr>
        <w:spacing w:after="120" w:line="360" w:lineRule="auto"/>
        <w:ind w:left="720" w:hanging="720"/>
        <w:jc w:val="both"/>
        <w:rPr>
          <w:rFonts w:cs="Arial"/>
          <w:sz w:val="18"/>
          <w:szCs w:val="18"/>
          <w:lang w:val="en-GB"/>
        </w:rPr>
      </w:pPr>
      <w:r w:rsidRPr="00A40CCB">
        <w:rPr>
          <w:rFonts w:cs="Arial"/>
          <w:sz w:val="18"/>
          <w:szCs w:val="18"/>
          <w:lang w:val="en-GB"/>
        </w:rPr>
        <w:t xml:space="preserve">———. 1993b. </w:t>
      </w:r>
      <w:r w:rsidRPr="00A40CCB">
        <w:rPr>
          <w:rFonts w:cs="Arial"/>
          <w:i/>
          <w:sz w:val="18"/>
          <w:szCs w:val="18"/>
          <w:lang w:val="en-GB"/>
        </w:rPr>
        <w:t>Leadership, Accountability and Governability: The Ontario Regional Experience—Report for the BC Ministry of Municipal Affairs</w:t>
      </w:r>
      <w:r w:rsidRPr="00A40CCB">
        <w:rPr>
          <w:rFonts w:cs="Arial"/>
          <w:sz w:val="18"/>
          <w:szCs w:val="18"/>
          <w:lang w:val="en-GB"/>
        </w:rPr>
        <w:t>. Vancouver.</w:t>
      </w:r>
    </w:p>
    <w:p w:rsidR="001948C1" w:rsidRPr="00A40CCB" w:rsidRDefault="001948C1" w:rsidP="00016E6B">
      <w:pPr>
        <w:spacing w:after="120" w:line="360" w:lineRule="auto"/>
        <w:ind w:left="720" w:hanging="720"/>
        <w:jc w:val="both"/>
        <w:rPr>
          <w:rFonts w:cs="Arial"/>
          <w:sz w:val="18"/>
          <w:szCs w:val="18"/>
          <w:lang w:val="en-GB"/>
        </w:rPr>
      </w:pPr>
      <w:r w:rsidRPr="00A40CCB">
        <w:rPr>
          <w:rFonts w:cs="Arial"/>
          <w:sz w:val="18"/>
          <w:szCs w:val="18"/>
          <w:lang w:val="en-GB"/>
        </w:rPr>
        <w:t xml:space="preserve">———. 1998a. ‘Local Government: An Introduction’, in M. Howlett and D. Laycock, eds, </w:t>
      </w:r>
      <w:r w:rsidRPr="00A40CCB">
        <w:rPr>
          <w:rFonts w:cs="Arial"/>
          <w:i/>
          <w:sz w:val="18"/>
          <w:szCs w:val="18"/>
          <w:lang w:val="en-GB"/>
        </w:rPr>
        <w:t>The Puzzles of Power: An Introduction to Political Science</w:t>
      </w:r>
      <w:r w:rsidRPr="00A40CCB">
        <w:rPr>
          <w:rFonts w:cs="Arial"/>
          <w:sz w:val="18"/>
          <w:szCs w:val="18"/>
          <w:lang w:val="en-GB"/>
        </w:rPr>
        <w:t xml:space="preserve">, 2nd edn. Toronto: Oxford University Press, 393–403. </w:t>
      </w:r>
    </w:p>
    <w:p w:rsidR="001948C1" w:rsidRPr="00A40CCB" w:rsidRDefault="001948C1" w:rsidP="00016E6B">
      <w:pPr>
        <w:spacing w:after="120" w:line="360" w:lineRule="auto"/>
        <w:ind w:left="720" w:hanging="720"/>
        <w:jc w:val="both"/>
        <w:rPr>
          <w:rFonts w:cs="Arial"/>
          <w:sz w:val="18"/>
          <w:szCs w:val="18"/>
          <w:lang w:val="en-GB"/>
        </w:rPr>
      </w:pPr>
      <w:r w:rsidRPr="00A40CCB">
        <w:rPr>
          <w:rFonts w:cs="Arial"/>
          <w:sz w:val="18"/>
          <w:szCs w:val="18"/>
          <w:lang w:val="en-GB"/>
        </w:rPr>
        <w:t xml:space="preserve">———. 1998b. ‘Public Participation and Policy-Making in the Vancouver Region’, in K. Graham, K. and S. Phillips, eds, </w:t>
      </w:r>
      <w:r w:rsidRPr="00A40CCB">
        <w:rPr>
          <w:rFonts w:cs="Arial"/>
          <w:i/>
          <w:sz w:val="18"/>
          <w:szCs w:val="18"/>
          <w:lang w:val="en-GB"/>
        </w:rPr>
        <w:t>Citizen Engagement: Lessons in Participation from Local Government</w:t>
      </w:r>
      <w:r w:rsidRPr="00A40CCB">
        <w:rPr>
          <w:rFonts w:cs="Arial"/>
          <w:sz w:val="18"/>
          <w:szCs w:val="18"/>
          <w:lang w:val="en-GB"/>
        </w:rPr>
        <w:t>. Toronto: Institute of Public Administration of Canada, 49–77.</w:t>
      </w:r>
    </w:p>
    <w:p w:rsidR="001948C1" w:rsidRPr="00A40CCB" w:rsidRDefault="001948C1" w:rsidP="00016E6B">
      <w:pPr>
        <w:spacing w:after="120" w:line="360" w:lineRule="auto"/>
        <w:jc w:val="both"/>
        <w:rPr>
          <w:rFonts w:cs="Arial"/>
          <w:sz w:val="18"/>
          <w:szCs w:val="18"/>
          <w:lang w:val="en-GB"/>
        </w:rPr>
      </w:pPr>
      <w:r w:rsidRPr="00A40CCB">
        <w:rPr>
          <w:rFonts w:cs="Arial"/>
          <w:sz w:val="18"/>
          <w:szCs w:val="18"/>
          <w:lang w:val="en-GB"/>
        </w:rPr>
        <w:t xml:space="preserve">——— </w:t>
      </w:r>
      <w:r w:rsidR="00A40CCB">
        <w:rPr>
          <w:rFonts w:cs="Arial"/>
          <w:sz w:val="18"/>
          <w:szCs w:val="18"/>
          <w:lang w:val="en-GB"/>
        </w:rPr>
        <w:t>2006</w:t>
      </w:r>
      <w:r w:rsidRPr="00A40CCB">
        <w:rPr>
          <w:rFonts w:cs="Arial"/>
          <w:sz w:val="18"/>
          <w:szCs w:val="18"/>
          <w:lang w:val="en-GB"/>
        </w:rPr>
        <w:t xml:space="preserve">, ‘GOVERNING METROPOLITAN VANCOUVER: PAST ITS “BEST BEFORE” DATE’ (with H.P.Oberlander) in E. Razin and P. Smith, </w:t>
      </w:r>
      <w:r w:rsidRPr="00A40CCB">
        <w:rPr>
          <w:rFonts w:cs="Arial"/>
          <w:i/>
          <w:sz w:val="18"/>
          <w:szCs w:val="18"/>
          <w:lang w:val="en-GB"/>
        </w:rPr>
        <w:t xml:space="preserve">METROPOLITAN GOVERNING; CANADIAN CASES, COMPARATIVE LESSONS, </w:t>
      </w:r>
      <w:r w:rsidRPr="00A40CCB">
        <w:rPr>
          <w:rFonts w:cs="Arial"/>
          <w:sz w:val="18"/>
          <w:szCs w:val="18"/>
          <w:lang w:val="en-GB"/>
        </w:rPr>
        <w:t xml:space="preserve">(Jerusalem: Magnes PRESS, Hebrew University of Jerusalem, 2005). </w:t>
      </w:r>
    </w:p>
    <w:p w:rsidR="00A40CCB" w:rsidRDefault="001948C1" w:rsidP="00016E6B">
      <w:pPr>
        <w:spacing w:after="120" w:line="360" w:lineRule="auto"/>
        <w:ind w:left="720" w:hanging="720"/>
        <w:jc w:val="both"/>
        <w:rPr>
          <w:rFonts w:cs="Arial"/>
          <w:sz w:val="18"/>
          <w:szCs w:val="18"/>
        </w:rPr>
      </w:pPr>
      <w:r w:rsidRPr="00A40CCB">
        <w:rPr>
          <w:rFonts w:cs="Arial"/>
          <w:sz w:val="18"/>
          <w:szCs w:val="18"/>
        </w:rPr>
        <w:t xml:space="preserve">——— and T.H. Cohn. 1995. ‘Developing Global Cities in the Pacific Northwest: The Cases of Vancouver and Seattle’, in P.K. Kresl and G. Gappert, eds, </w:t>
      </w:r>
      <w:r w:rsidRPr="00A40CCB">
        <w:rPr>
          <w:rFonts w:cs="Arial"/>
          <w:i/>
          <w:sz w:val="18"/>
          <w:szCs w:val="18"/>
        </w:rPr>
        <w:t>North American Cities and the Global Economy: Challengers and Opportunities</w:t>
      </w:r>
      <w:r w:rsidRPr="00A40CCB">
        <w:rPr>
          <w:rFonts w:cs="Arial"/>
          <w:sz w:val="18"/>
          <w:szCs w:val="18"/>
        </w:rPr>
        <w:t>. Thousand Oaks, Calif.: Sage.</w:t>
      </w:r>
    </w:p>
    <w:p w:rsidR="001948C1" w:rsidRPr="00A40CCB" w:rsidRDefault="001948C1" w:rsidP="00016E6B">
      <w:pPr>
        <w:spacing w:after="120" w:line="360" w:lineRule="auto"/>
        <w:ind w:left="720" w:hanging="720"/>
        <w:jc w:val="both"/>
        <w:rPr>
          <w:rFonts w:cs="Arial"/>
          <w:sz w:val="18"/>
          <w:szCs w:val="18"/>
          <w:lang w:val="en-GB"/>
        </w:rPr>
      </w:pPr>
      <w:r w:rsidRPr="00A40CCB">
        <w:rPr>
          <w:rFonts w:cs="Arial"/>
          <w:sz w:val="18"/>
          <w:szCs w:val="18"/>
          <w:lang w:val="en-GB"/>
        </w:rPr>
        <w:lastRenderedPageBreak/>
        <w:t xml:space="preserve">———, with P. Nicoll. 1979. ‘Municipal Planning Administration in England and Canada’, </w:t>
      </w:r>
      <w:r w:rsidRPr="00A40CCB">
        <w:rPr>
          <w:rFonts w:cs="Arial"/>
          <w:i/>
          <w:sz w:val="18"/>
          <w:szCs w:val="18"/>
          <w:lang w:val="en-GB"/>
        </w:rPr>
        <w:t>London Review of Public Administration</w:t>
      </w:r>
      <w:r w:rsidRPr="00A40CCB">
        <w:rPr>
          <w:rFonts w:cs="Arial"/>
          <w:sz w:val="18"/>
          <w:szCs w:val="18"/>
          <w:lang w:val="en-GB"/>
        </w:rPr>
        <w:t xml:space="preserve"> 12 (Nov.): 29–64.</w:t>
      </w:r>
    </w:p>
    <w:p w:rsidR="001948C1" w:rsidRPr="00A40CCB" w:rsidRDefault="001948C1" w:rsidP="00016E6B">
      <w:pPr>
        <w:spacing w:after="120" w:line="360" w:lineRule="auto"/>
        <w:ind w:left="720" w:hanging="720"/>
        <w:jc w:val="both"/>
        <w:rPr>
          <w:rFonts w:cs="Arial"/>
          <w:sz w:val="18"/>
          <w:szCs w:val="18"/>
          <w:lang w:val="en-GB"/>
        </w:rPr>
      </w:pPr>
      <w:r w:rsidRPr="00A40CCB">
        <w:rPr>
          <w:rFonts w:cs="Arial"/>
          <w:sz w:val="18"/>
          <w:szCs w:val="18"/>
          <w:lang w:val="en-GB"/>
        </w:rPr>
        <w:t xml:space="preserve">——— and H.P. Oberlander. 1998. ‘Restructuring Metropolitan Governance: Greater Vancouver—British Columbia Reforms’, in D. Rothblatt and A. Sancton, eds, </w:t>
      </w:r>
      <w:r w:rsidRPr="00A40CCB">
        <w:rPr>
          <w:rFonts w:cs="Arial"/>
          <w:i/>
          <w:sz w:val="18"/>
          <w:szCs w:val="18"/>
          <w:lang w:val="en-GB"/>
        </w:rPr>
        <w:t>Metropolitan Governance Revisited: American/Canadian Intergovernmental Perspectives</w:t>
      </w:r>
      <w:r w:rsidRPr="00A40CCB">
        <w:rPr>
          <w:rFonts w:cs="Arial"/>
          <w:sz w:val="18"/>
          <w:szCs w:val="18"/>
          <w:lang w:val="en-GB"/>
        </w:rPr>
        <w:t xml:space="preserve">. Berkeley: Institute of Governmental Studies, University of California, 371–406. </w:t>
      </w:r>
    </w:p>
    <w:p w:rsidR="001948C1" w:rsidRPr="00A40CCB" w:rsidRDefault="001948C1" w:rsidP="00016E6B">
      <w:pPr>
        <w:spacing w:after="120" w:line="360" w:lineRule="auto"/>
        <w:ind w:left="720" w:hanging="720"/>
        <w:jc w:val="both"/>
        <w:rPr>
          <w:rFonts w:cs="Arial"/>
          <w:sz w:val="18"/>
          <w:szCs w:val="18"/>
          <w:lang w:val="en-GB"/>
        </w:rPr>
      </w:pPr>
      <w:r w:rsidRPr="00A40CCB">
        <w:rPr>
          <w:rFonts w:cs="Arial"/>
          <w:sz w:val="18"/>
          <w:szCs w:val="18"/>
          <w:lang w:val="en-GB"/>
        </w:rPr>
        <w:t xml:space="preserve">——— and K. Stewart. 1998. </w:t>
      </w:r>
      <w:r w:rsidRPr="00A40CCB">
        <w:rPr>
          <w:rFonts w:cs="Arial"/>
          <w:i/>
          <w:sz w:val="18"/>
          <w:szCs w:val="18"/>
          <w:lang w:val="en-GB"/>
        </w:rPr>
        <w:t>Making Local Accountability Work in British Columbia</w:t>
      </w:r>
      <w:r w:rsidRPr="00A40CCB">
        <w:rPr>
          <w:rFonts w:cs="Arial"/>
          <w:sz w:val="18"/>
          <w:szCs w:val="18"/>
          <w:lang w:val="en-GB"/>
        </w:rPr>
        <w:t>. Burnaby: Institute of Governance Studies, Simon Fraser University.</w:t>
      </w:r>
    </w:p>
    <w:p w:rsidR="001948C1" w:rsidRPr="00A40CCB" w:rsidRDefault="001948C1" w:rsidP="00016E6B">
      <w:pPr>
        <w:spacing w:line="360" w:lineRule="auto"/>
        <w:jc w:val="both"/>
        <w:rPr>
          <w:rFonts w:cs="Arial"/>
          <w:sz w:val="18"/>
          <w:szCs w:val="18"/>
        </w:rPr>
      </w:pPr>
      <w:r w:rsidRPr="00A40CCB">
        <w:rPr>
          <w:rFonts w:cs="Arial"/>
          <w:sz w:val="18"/>
          <w:szCs w:val="18"/>
          <w:lang w:val="en-GB"/>
        </w:rPr>
        <w:t>——— and K. Stewart 2004) ‘</w:t>
      </w:r>
      <w:r w:rsidRPr="00A40CCB">
        <w:rPr>
          <w:rFonts w:cs="Arial"/>
          <w:sz w:val="18"/>
          <w:szCs w:val="18"/>
        </w:rPr>
        <w:t xml:space="preserve">Eager Beavers, Lazy Cats and the Mushy Middle Thesis: </w:t>
      </w:r>
    </w:p>
    <w:p w:rsidR="001948C1" w:rsidRPr="00A40CCB" w:rsidRDefault="001948C1" w:rsidP="00016E6B">
      <w:pPr>
        <w:spacing w:line="360" w:lineRule="auto"/>
        <w:jc w:val="both"/>
        <w:rPr>
          <w:rFonts w:cs="Arial"/>
          <w:sz w:val="18"/>
          <w:szCs w:val="18"/>
        </w:rPr>
      </w:pPr>
      <w:r w:rsidRPr="00A40CCB">
        <w:rPr>
          <w:rFonts w:cs="Arial"/>
          <w:sz w:val="18"/>
          <w:szCs w:val="18"/>
        </w:rPr>
        <w:t>Understanding Intergovernmental Policy Making Capacity of Local Governments</w:t>
      </w:r>
    </w:p>
    <w:p w:rsidR="001948C1" w:rsidRPr="00A40CCB" w:rsidRDefault="001948C1" w:rsidP="00016E6B">
      <w:pPr>
        <w:spacing w:after="120" w:line="360" w:lineRule="auto"/>
        <w:ind w:left="720" w:hanging="720"/>
        <w:jc w:val="both"/>
        <w:rPr>
          <w:rFonts w:cs="Arial"/>
          <w:sz w:val="18"/>
          <w:szCs w:val="18"/>
          <w:lang w:val="en-GB"/>
        </w:rPr>
      </w:pPr>
      <w:r w:rsidRPr="00A40CCB" w:rsidDel="00B54354">
        <w:rPr>
          <w:rFonts w:cs="Arial"/>
          <w:sz w:val="18"/>
          <w:szCs w:val="18"/>
          <w:lang w:val="en-GB"/>
        </w:rPr>
        <w:t xml:space="preserve"> </w:t>
      </w:r>
      <w:r w:rsidRPr="00A40CCB">
        <w:rPr>
          <w:rFonts w:cs="Arial"/>
          <w:sz w:val="18"/>
          <w:szCs w:val="18"/>
          <w:lang w:val="en-GB"/>
        </w:rPr>
        <w:t xml:space="preserve">in </w:t>
      </w:r>
      <w:r w:rsidRPr="00A40CCB">
        <w:rPr>
          <w:rFonts w:cs="Arial"/>
          <w:sz w:val="18"/>
          <w:szCs w:val="18"/>
        </w:rPr>
        <w:t>Robert Young AND  CHRISTAIN LEUPRECHT, (eds)</w:t>
      </w:r>
      <w:r w:rsidRPr="00A40CCB">
        <w:rPr>
          <w:rFonts w:cs="Arial"/>
          <w:i/>
          <w:sz w:val="18"/>
          <w:szCs w:val="18"/>
        </w:rPr>
        <w:t xml:space="preserve"> Canada: The State of the Federation, 2004</w:t>
      </w:r>
      <w:r w:rsidRPr="00A40CCB" w:rsidDel="00B54354">
        <w:rPr>
          <w:rFonts w:cs="Arial"/>
          <w:sz w:val="18"/>
          <w:szCs w:val="18"/>
        </w:rPr>
        <w:t xml:space="preserve"> </w:t>
      </w:r>
      <w:r w:rsidRPr="00A40CCB">
        <w:rPr>
          <w:rFonts w:cs="Arial"/>
          <w:sz w:val="18"/>
          <w:szCs w:val="18"/>
        </w:rPr>
        <w:t>(Kingston: Institute of Intergovernmental Relations, Queen’s University, 2004.)</w:t>
      </w:r>
    </w:p>
    <w:p w:rsidR="001948C1" w:rsidRPr="00A40CCB" w:rsidRDefault="003A67EC" w:rsidP="00016E6B">
      <w:pPr>
        <w:spacing w:after="120" w:line="360" w:lineRule="auto"/>
        <w:ind w:left="720" w:hanging="720"/>
        <w:jc w:val="both"/>
        <w:rPr>
          <w:rFonts w:cs="Arial"/>
          <w:sz w:val="18"/>
          <w:szCs w:val="18"/>
          <w:lang w:val="en-GB"/>
        </w:rPr>
      </w:pPr>
      <w:r>
        <w:rPr>
          <w:rFonts w:cs="Arial"/>
          <w:sz w:val="18"/>
          <w:szCs w:val="18"/>
          <w:lang w:val="en-GB"/>
        </w:rPr>
        <w:t>-</w:t>
      </w:r>
      <w:r w:rsidR="001948C1" w:rsidRPr="00A40CCB">
        <w:rPr>
          <w:rFonts w:cs="Arial"/>
          <w:sz w:val="18"/>
          <w:szCs w:val="18"/>
          <w:lang w:val="en-GB"/>
        </w:rPr>
        <w:t xml:space="preserve"> - and K. Stewart, “Unaided Politicians in Un</w:t>
      </w:r>
      <w:r w:rsidR="003B7455">
        <w:rPr>
          <w:rFonts w:cs="Arial"/>
          <w:sz w:val="18"/>
          <w:szCs w:val="18"/>
          <w:lang w:val="en-GB"/>
        </w:rPr>
        <w:t>a</w:t>
      </w:r>
      <w:r w:rsidR="001948C1" w:rsidRPr="00A40CCB">
        <w:rPr>
          <w:rFonts w:cs="Arial"/>
          <w:sz w:val="18"/>
          <w:szCs w:val="18"/>
          <w:lang w:val="en-GB"/>
        </w:rPr>
        <w:t xml:space="preserve">daided City Councils: Explaining Policy Advice in Canadian Cities” in M. Howlett and L. Dobuzinskis, eds, </w:t>
      </w:r>
      <w:r w:rsidR="001948C1" w:rsidRPr="00A40CCB">
        <w:rPr>
          <w:rFonts w:cs="Arial"/>
          <w:i/>
          <w:sz w:val="18"/>
          <w:szCs w:val="18"/>
          <w:lang w:val="en-GB"/>
        </w:rPr>
        <w:t>POLICY ANALYSIS IN CANADA: THE STATE OF THE ART</w:t>
      </w:r>
      <w:r w:rsidR="001948C1" w:rsidRPr="00A40CCB">
        <w:rPr>
          <w:rFonts w:cs="Arial"/>
          <w:sz w:val="18"/>
          <w:szCs w:val="18"/>
          <w:lang w:val="en-GB"/>
        </w:rPr>
        <w:t>, (Toronto: Uni</w:t>
      </w:r>
      <w:r w:rsidR="003B7455">
        <w:rPr>
          <w:rFonts w:cs="Arial"/>
          <w:sz w:val="18"/>
          <w:szCs w:val="18"/>
          <w:lang w:val="en-GB"/>
        </w:rPr>
        <w:t>versity of Toronto press, 2005,</w:t>
      </w:r>
      <w:r w:rsidR="001948C1" w:rsidRPr="00A40CCB">
        <w:rPr>
          <w:rFonts w:cs="Arial"/>
          <w:sz w:val="18"/>
          <w:szCs w:val="18"/>
          <w:lang w:val="en-GB"/>
        </w:rPr>
        <w:t>)</w:t>
      </w:r>
    </w:p>
    <w:p w:rsidR="001948C1" w:rsidRPr="00A40CCB" w:rsidRDefault="00306059" w:rsidP="00016E6B">
      <w:pPr>
        <w:spacing w:after="120" w:line="360" w:lineRule="auto"/>
        <w:ind w:left="720" w:hanging="720"/>
        <w:jc w:val="both"/>
        <w:rPr>
          <w:rFonts w:cs="Arial"/>
          <w:sz w:val="18"/>
          <w:szCs w:val="18"/>
          <w:lang w:val="en-GB"/>
        </w:rPr>
      </w:pPr>
      <w:r>
        <w:rPr>
          <w:rFonts w:cs="Arial"/>
          <w:sz w:val="18"/>
          <w:szCs w:val="18"/>
          <w:lang w:val="en-GB"/>
        </w:rPr>
        <w:t>-</w:t>
      </w:r>
      <w:r w:rsidR="001948C1" w:rsidRPr="00A40CCB">
        <w:rPr>
          <w:rFonts w:cs="Arial"/>
          <w:sz w:val="18"/>
          <w:szCs w:val="18"/>
          <w:lang w:val="en-GB"/>
        </w:rPr>
        <w:t xml:space="preserve">Stewart, K. 1997. ‘Measuring Local Democracy: The Case of Vancouver’, </w:t>
      </w:r>
      <w:r w:rsidR="001948C1" w:rsidRPr="00A40CCB">
        <w:rPr>
          <w:rFonts w:cs="Arial"/>
          <w:i/>
          <w:sz w:val="18"/>
          <w:szCs w:val="18"/>
          <w:lang w:val="en-GB"/>
        </w:rPr>
        <w:t>Canadian Journal of Urban Research</w:t>
      </w:r>
      <w:r w:rsidR="001948C1" w:rsidRPr="00A40CCB">
        <w:rPr>
          <w:rFonts w:cs="Arial"/>
          <w:sz w:val="18"/>
          <w:szCs w:val="18"/>
          <w:lang w:val="en-GB"/>
        </w:rPr>
        <w:t xml:space="preserve"> 6, 2: 160–82.</w:t>
      </w:r>
    </w:p>
    <w:p w:rsidR="001948C1" w:rsidRPr="00A40CCB" w:rsidRDefault="001948C1" w:rsidP="00016E6B">
      <w:pPr>
        <w:spacing w:after="120" w:line="360" w:lineRule="auto"/>
        <w:ind w:left="720" w:hanging="720"/>
        <w:jc w:val="both"/>
        <w:rPr>
          <w:rFonts w:cs="Arial"/>
          <w:sz w:val="18"/>
          <w:szCs w:val="18"/>
          <w:lang w:val="en-GB"/>
        </w:rPr>
      </w:pPr>
      <w:r w:rsidRPr="00A40CCB">
        <w:rPr>
          <w:rFonts w:cs="Arial"/>
          <w:sz w:val="18"/>
          <w:szCs w:val="18"/>
          <w:lang w:val="en-GB"/>
        </w:rPr>
        <w:t xml:space="preserve">———. 2003. </w:t>
      </w:r>
      <w:r w:rsidRPr="00A40CCB">
        <w:rPr>
          <w:rFonts w:cs="Arial"/>
          <w:i/>
          <w:sz w:val="18"/>
          <w:szCs w:val="18"/>
          <w:lang w:val="en-GB"/>
        </w:rPr>
        <w:t>Think Democracy: Options for Local Democratic Reform in Vancouver</w:t>
      </w:r>
      <w:r w:rsidRPr="00A40CCB">
        <w:rPr>
          <w:rFonts w:cs="Arial"/>
          <w:sz w:val="18"/>
          <w:szCs w:val="18"/>
          <w:lang w:val="en-GB"/>
        </w:rPr>
        <w:t>. Vancouver: IGS Press, Simon Fraser University.</w:t>
      </w:r>
    </w:p>
    <w:p w:rsidR="001948C1" w:rsidRPr="00A40CCB" w:rsidRDefault="001948C1" w:rsidP="00016E6B">
      <w:pPr>
        <w:spacing w:after="120" w:line="360" w:lineRule="auto"/>
        <w:ind w:left="720" w:hanging="720"/>
        <w:jc w:val="both"/>
        <w:rPr>
          <w:rFonts w:cs="Arial"/>
          <w:sz w:val="18"/>
          <w:szCs w:val="18"/>
          <w:lang w:val="en-GB"/>
        </w:rPr>
      </w:pPr>
      <w:r w:rsidRPr="00A40CCB">
        <w:rPr>
          <w:rFonts w:cs="Arial"/>
          <w:sz w:val="18"/>
          <w:szCs w:val="18"/>
          <w:lang w:val="en-GB"/>
        </w:rPr>
        <w:t xml:space="preserve">———. 2004. ‘Product Over Process: Elite and Public Support for Metropolitan Governance Reform in Greater London and Metropolitan Toronto’, in E. Razin and P.J. Smith, eds, </w:t>
      </w:r>
      <w:r w:rsidRPr="00A40CCB">
        <w:rPr>
          <w:rFonts w:cs="Arial"/>
          <w:i/>
          <w:sz w:val="18"/>
          <w:szCs w:val="18"/>
          <w:lang w:val="en-GB"/>
        </w:rPr>
        <w:t>Metropolitan Governing: Canadian Cases, Comparative Lessons</w:t>
      </w:r>
      <w:r w:rsidRPr="00A40CCB">
        <w:rPr>
          <w:rFonts w:cs="Arial"/>
          <w:sz w:val="18"/>
          <w:szCs w:val="18"/>
          <w:lang w:val="en-GB"/>
        </w:rPr>
        <w:t>. Jerusalem: Magnes Press, Hebrew University of Jerusalem.</w:t>
      </w:r>
    </w:p>
    <w:p w:rsidR="001948C1" w:rsidRPr="00A40CCB" w:rsidRDefault="00306059" w:rsidP="00016E6B">
      <w:pPr>
        <w:spacing w:after="120" w:line="360" w:lineRule="auto"/>
        <w:ind w:left="720" w:hanging="720"/>
        <w:jc w:val="both"/>
        <w:rPr>
          <w:rFonts w:cs="Arial"/>
          <w:sz w:val="18"/>
          <w:szCs w:val="18"/>
          <w:lang w:val="en-GB"/>
        </w:rPr>
      </w:pPr>
      <w:r>
        <w:rPr>
          <w:rFonts w:cs="Arial"/>
          <w:sz w:val="18"/>
          <w:szCs w:val="18"/>
          <w:lang w:val="en-GB"/>
        </w:rPr>
        <w:t>-</w:t>
      </w:r>
      <w:r w:rsidR="001948C1" w:rsidRPr="00A40CCB">
        <w:rPr>
          <w:rFonts w:cs="Arial"/>
          <w:sz w:val="18"/>
          <w:szCs w:val="18"/>
          <w:lang w:val="en-GB"/>
        </w:rPr>
        <w:t>Translink. 2001. About Us. At: www.translink.bc.ca/aboutus/gvrd.htm</w:t>
      </w:r>
    </w:p>
    <w:p w:rsidR="001948C1" w:rsidRPr="00A40CCB" w:rsidRDefault="00306059" w:rsidP="00016E6B">
      <w:pPr>
        <w:spacing w:after="120" w:line="360" w:lineRule="auto"/>
        <w:ind w:left="720" w:hanging="720"/>
        <w:jc w:val="both"/>
        <w:rPr>
          <w:rFonts w:cs="Arial"/>
          <w:sz w:val="18"/>
          <w:szCs w:val="18"/>
          <w:lang w:val="en-GB"/>
        </w:rPr>
      </w:pPr>
      <w:r>
        <w:rPr>
          <w:rFonts w:cs="Arial"/>
          <w:sz w:val="18"/>
          <w:szCs w:val="18"/>
          <w:lang w:val="en-GB"/>
        </w:rPr>
        <w:t>-</w:t>
      </w:r>
      <w:r w:rsidR="001948C1" w:rsidRPr="00A40CCB">
        <w:rPr>
          <w:rFonts w:cs="Arial"/>
          <w:sz w:val="18"/>
          <w:szCs w:val="18"/>
          <w:lang w:val="en-GB"/>
        </w:rPr>
        <w:t>Union of British Columbia Municipalities. 2004. Press Release, 7 Nov.</w:t>
      </w:r>
    </w:p>
    <w:p w:rsidR="001948C1" w:rsidRPr="00A40CCB" w:rsidRDefault="00306059" w:rsidP="00016E6B">
      <w:pPr>
        <w:pStyle w:val="BodyTextIndent"/>
        <w:spacing w:line="360" w:lineRule="auto"/>
        <w:jc w:val="both"/>
        <w:rPr>
          <w:rFonts w:ascii="Arial" w:hAnsi="Arial" w:cs="Arial"/>
          <w:sz w:val="18"/>
          <w:szCs w:val="18"/>
        </w:rPr>
      </w:pPr>
      <w:r>
        <w:rPr>
          <w:rFonts w:ascii="Arial" w:hAnsi="Arial" w:cs="Arial"/>
          <w:sz w:val="18"/>
          <w:szCs w:val="18"/>
        </w:rPr>
        <w:t>-</w:t>
      </w:r>
      <w:r w:rsidR="001948C1" w:rsidRPr="00A40CCB">
        <w:rPr>
          <w:rFonts w:ascii="Arial" w:hAnsi="Arial" w:cs="Arial"/>
          <w:sz w:val="18"/>
          <w:szCs w:val="18"/>
        </w:rPr>
        <w:t>Vance, K. 2002. Union of British Columbia Municipalities Staff, interview, 25 July.</w:t>
      </w:r>
    </w:p>
    <w:p w:rsidR="001948C1" w:rsidRPr="00A40CCB" w:rsidRDefault="00306059" w:rsidP="00016E6B">
      <w:pPr>
        <w:pStyle w:val="BodyTextIndent"/>
        <w:spacing w:line="360" w:lineRule="auto"/>
        <w:jc w:val="both"/>
        <w:rPr>
          <w:rFonts w:ascii="Arial" w:hAnsi="Arial" w:cs="Arial"/>
          <w:sz w:val="18"/>
          <w:szCs w:val="18"/>
        </w:rPr>
      </w:pPr>
      <w:r>
        <w:rPr>
          <w:rFonts w:ascii="Arial" w:hAnsi="Arial" w:cs="Arial"/>
          <w:sz w:val="18"/>
          <w:szCs w:val="18"/>
        </w:rPr>
        <w:t>-</w:t>
      </w:r>
      <w:r w:rsidR="001948C1" w:rsidRPr="00A40CCB">
        <w:rPr>
          <w:rFonts w:ascii="Arial" w:hAnsi="Arial" w:cs="Arial"/>
          <w:sz w:val="18"/>
          <w:szCs w:val="18"/>
        </w:rPr>
        <w:t xml:space="preserve">Walisser, B. 2002, 2004. Local Government Section, Ministry for Community, Aboriginal and Women’s Services, interviews, 23 July 2002 and 13 Feb. 2004. </w:t>
      </w:r>
    </w:p>
    <w:p w:rsidR="001948C1" w:rsidRPr="00A40CCB" w:rsidRDefault="00306059" w:rsidP="00016E6B">
      <w:pPr>
        <w:spacing w:after="120" w:line="360" w:lineRule="auto"/>
        <w:ind w:left="720" w:hanging="720"/>
        <w:jc w:val="both"/>
        <w:rPr>
          <w:rFonts w:cs="Arial"/>
          <w:sz w:val="18"/>
          <w:szCs w:val="18"/>
          <w:lang w:val="en-GB"/>
        </w:rPr>
      </w:pPr>
      <w:r>
        <w:rPr>
          <w:rFonts w:cs="Arial"/>
          <w:sz w:val="18"/>
          <w:szCs w:val="18"/>
          <w:lang w:val="en-GB"/>
        </w:rPr>
        <w:t>-</w:t>
      </w:r>
      <w:r w:rsidR="001948C1" w:rsidRPr="00A40CCB">
        <w:rPr>
          <w:rFonts w:cs="Arial"/>
          <w:sz w:val="18"/>
          <w:szCs w:val="18"/>
          <w:lang w:val="en-GB"/>
        </w:rPr>
        <w:t>Wallace, S. 1999.</w:t>
      </w:r>
      <w:r w:rsidR="001948C1" w:rsidRPr="00A40CCB">
        <w:rPr>
          <w:rFonts w:cs="Arial"/>
          <w:sz w:val="18"/>
          <w:szCs w:val="18"/>
        </w:rPr>
        <w:t xml:space="preserve"> Union of British Columbia Municipalities</w:t>
      </w:r>
      <w:r w:rsidR="001948C1" w:rsidRPr="00A40CCB">
        <w:rPr>
          <w:rFonts w:cs="Arial"/>
          <w:sz w:val="18"/>
          <w:szCs w:val="18"/>
          <w:lang w:val="en-GB"/>
        </w:rPr>
        <w:t>, interview, 12 Feb.</w:t>
      </w:r>
    </w:p>
    <w:sectPr w:rsidR="001948C1" w:rsidRPr="00A40CC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612" w:rsidRDefault="000C0612" w:rsidP="001948C1">
      <w:r>
        <w:separator/>
      </w:r>
    </w:p>
  </w:endnote>
  <w:endnote w:type="continuationSeparator" w:id="0">
    <w:p w:rsidR="000C0612" w:rsidRDefault="000C0612" w:rsidP="00194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612" w:rsidRDefault="000C0612" w:rsidP="001948C1">
      <w:r>
        <w:separator/>
      </w:r>
    </w:p>
  </w:footnote>
  <w:footnote w:type="continuationSeparator" w:id="0">
    <w:p w:rsidR="000C0612" w:rsidRDefault="000C0612" w:rsidP="001948C1">
      <w:r>
        <w:continuationSeparator/>
      </w:r>
    </w:p>
  </w:footnote>
  <w:footnote w:id="1">
    <w:p w:rsidR="00F312AF" w:rsidRPr="001D02CC" w:rsidRDefault="00F312AF" w:rsidP="001948C1">
      <w:pPr>
        <w:overflowPunct w:val="0"/>
        <w:autoSpaceDE w:val="0"/>
        <w:autoSpaceDN w:val="0"/>
        <w:adjustRightInd w:val="0"/>
        <w:jc w:val="both"/>
        <w:textAlignment w:val="baseline"/>
        <w:rPr>
          <w:rFonts w:eastAsia="Gulim" w:cs="Arial"/>
          <w:sz w:val="20"/>
          <w:szCs w:val="20"/>
        </w:rPr>
      </w:pPr>
      <w:r w:rsidRPr="001D02CC">
        <w:rPr>
          <w:rStyle w:val="FootnoteReference"/>
          <w:rFonts w:eastAsiaTheme="majorEastAsia"/>
          <w:sz w:val="20"/>
          <w:szCs w:val="20"/>
        </w:rPr>
        <w:footnoteRef/>
      </w:r>
      <w:r w:rsidRPr="001D02CC">
        <w:rPr>
          <w:sz w:val="20"/>
          <w:szCs w:val="20"/>
        </w:rPr>
        <w:t xml:space="preserve"> </w:t>
      </w:r>
      <w:r w:rsidRPr="001D02CC">
        <w:rPr>
          <w:sz w:val="20"/>
          <w:szCs w:val="20"/>
          <w:lang w:val="en-CA"/>
        </w:rPr>
        <w:t>See P.J. Smith and K. Stewart, “</w:t>
      </w:r>
      <w:r w:rsidRPr="001D02CC">
        <w:rPr>
          <w:rFonts w:eastAsia="Gulim" w:cs="Arial"/>
          <w:sz w:val="20"/>
          <w:szCs w:val="20"/>
        </w:rPr>
        <w:t>“Local Government Reform in British Columbia</w:t>
      </w:r>
      <w:r>
        <w:rPr>
          <w:rFonts w:eastAsia="Gulim" w:cs="Arial"/>
          <w:sz w:val="20"/>
          <w:szCs w:val="20"/>
        </w:rPr>
        <w:t xml:space="preserve">: </w:t>
      </w:r>
      <w:r w:rsidRPr="001D02CC">
        <w:rPr>
          <w:rFonts w:eastAsia="Gulim" w:cs="Arial"/>
          <w:sz w:val="20"/>
          <w:szCs w:val="20"/>
        </w:rPr>
        <w:t>One Oar in the Water</w:t>
      </w:r>
      <w:r>
        <w:rPr>
          <w:rFonts w:eastAsia="Gulim" w:cs="Arial"/>
          <w:sz w:val="20"/>
          <w:szCs w:val="20"/>
        </w:rPr>
        <w:t xml:space="preserve">,  </w:t>
      </w:r>
      <w:r w:rsidRPr="001D02CC">
        <w:rPr>
          <w:rFonts w:eastAsia="Gulim" w:cs="Arial"/>
          <w:sz w:val="20"/>
          <w:szCs w:val="20"/>
        </w:rPr>
        <w:t xml:space="preserve"> 199</w:t>
      </w:r>
      <w:r>
        <w:rPr>
          <w:rFonts w:eastAsia="Gulim" w:cs="Arial"/>
          <w:sz w:val="20"/>
          <w:szCs w:val="20"/>
        </w:rPr>
        <w:t>1</w:t>
      </w:r>
      <w:r w:rsidRPr="001D02CC">
        <w:rPr>
          <w:rFonts w:eastAsia="Gulim" w:cs="Arial"/>
          <w:sz w:val="20"/>
          <w:szCs w:val="20"/>
        </w:rPr>
        <w:t>-200</w:t>
      </w:r>
      <w:r>
        <w:rPr>
          <w:rFonts w:eastAsia="Gulim" w:cs="Arial"/>
          <w:sz w:val="20"/>
          <w:szCs w:val="20"/>
        </w:rPr>
        <w:t>5</w:t>
      </w:r>
      <w:r w:rsidRPr="001D02CC">
        <w:rPr>
          <w:rFonts w:eastAsia="Gulim" w:cs="Arial"/>
          <w:sz w:val="20"/>
          <w:szCs w:val="20"/>
        </w:rPr>
        <w:t xml:space="preserve">”, (with Kennedy Stewart), chapter in Garcea, J. &amp; Lesage Jr., E. (eds.) </w:t>
      </w:r>
      <w:r w:rsidRPr="001D02CC">
        <w:rPr>
          <w:rFonts w:eastAsia="Gulim" w:cs="Arial"/>
          <w:i/>
          <w:sz w:val="20"/>
          <w:szCs w:val="20"/>
          <w:u w:val="single"/>
        </w:rPr>
        <w:t>Municipal Reforms in Canada: Dimensions, Dynamics, Determinants</w:t>
      </w:r>
      <w:r w:rsidRPr="001D02CC">
        <w:rPr>
          <w:rFonts w:eastAsia="Gulim" w:cs="Arial"/>
          <w:b/>
          <w:sz w:val="20"/>
          <w:szCs w:val="20"/>
        </w:rPr>
        <w:t xml:space="preserve">, </w:t>
      </w:r>
      <w:r w:rsidRPr="001D02CC">
        <w:rPr>
          <w:rFonts w:eastAsia="Gulim" w:cs="Arial"/>
          <w:sz w:val="20"/>
          <w:szCs w:val="20"/>
        </w:rPr>
        <w:t>Toronto: Oxford University Press, 200</w:t>
      </w:r>
      <w:r>
        <w:rPr>
          <w:rFonts w:eastAsia="Gulim" w:cs="Arial"/>
          <w:sz w:val="20"/>
          <w:szCs w:val="20"/>
        </w:rPr>
        <w:t>5, pp.</w:t>
      </w:r>
      <w:r w:rsidRPr="001D02CC">
        <w:rPr>
          <w:rFonts w:eastAsia="Gulim" w:cs="Arial"/>
          <w:sz w:val="20"/>
          <w:szCs w:val="20"/>
        </w:rPr>
        <w:t>.</w:t>
      </w:r>
    </w:p>
    <w:p w:rsidR="00F312AF" w:rsidRPr="004F1260" w:rsidRDefault="00F312AF" w:rsidP="001948C1">
      <w:pPr>
        <w:pStyle w:val="FootnoteText"/>
        <w:rPr>
          <w:lang w:val="en-CA"/>
        </w:rPr>
      </w:pPr>
    </w:p>
  </w:footnote>
  <w:footnote w:id="2">
    <w:p w:rsidR="00F312AF" w:rsidRPr="006B1138" w:rsidRDefault="00F312AF">
      <w:pPr>
        <w:pStyle w:val="FootnoteText"/>
        <w:rPr>
          <w:lang w:val="en-CA"/>
        </w:rPr>
      </w:pPr>
      <w:r>
        <w:rPr>
          <w:rStyle w:val="FootnoteReference"/>
        </w:rPr>
        <w:footnoteRef/>
      </w:r>
      <w:r>
        <w:t xml:space="preserve"> </w:t>
      </w:r>
      <w:r>
        <w:rPr>
          <w:lang w:val="en-CA"/>
        </w:rPr>
        <w:t>One of the democratic reforms undertaken during the first Campbell term was setting fixed election dates</w:t>
      </w:r>
      <w:r w:rsidR="005C50F0">
        <w:rPr>
          <w:lang w:val="en-CA"/>
        </w:rPr>
        <w:t xml:space="preserve"> for provincial General Elections</w:t>
      </w:r>
      <w:r>
        <w:rPr>
          <w:lang w:val="en-CA"/>
        </w:rPr>
        <w:t>, four years after the previous one.</w:t>
      </w:r>
    </w:p>
  </w:footnote>
  <w:footnote w:id="3">
    <w:p w:rsidR="00F312AF" w:rsidRPr="00DD7919" w:rsidRDefault="00F312AF">
      <w:pPr>
        <w:pStyle w:val="FootnoteText"/>
        <w:rPr>
          <w:lang w:val="en-CA"/>
        </w:rPr>
      </w:pPr>
      <w:r>
        <w:rPr>
          <w:rStyle w:val="FootnoteReference"/>
        </w:rPr>
        <w:footnoteRef/>
      </w:r>
      <w:r>
        <w:t xml:space="preserve"> Bill 76: The </w:t>
      </w:r>
      <w:r>
        <w:rPr>
          <w:i/>
        </w:rPr>
        <w:t>Community Charter Transitional Provisions, Consequential Amendments and Other Amendments Act, 2003</w:t>
      </w:r>
      <w:r w:rsidRPr="00A0677E">
        <w:rPr>
          <w:rFonts w:cs="Arial"/>
          <w:b/>
        </w:rPr>
        <w:t xml:space="preserve"> </w:t>
      </w:r>
      <w:hyperlink r:id="rId1" w:history="1">
        <w:r w:rsidRPr="00CA18B5">
          <w:rPr>
            <w:rStyle w:val="Hyperlink"/>
            <w:rFonts w:eastAsiaTheme="majorEastAsia" w:cs="Arial"/>
          </w:rPr>
          <w:t>HTTP://MCAWS.GOV.BC.CA/CHARTER LEGISLATION/CONSEQUENTIALS. HTM</w:t>
        </w:r>
      </w:hyperlink>
      <w:r w:rsidRPr="00A0677E">
        <w:rPr>
          <w:rFonts w:cs="Arial"/>
          <w:b/>
        </w:rPr>
        <w:t xml:space="preserve">. </w:t>
      </w:r>
      <w:r>
        <w:rPr>
          <w:rFonts w:cs="Arial"/>
          <w:b/>
        </w:rPr>
        <w:t xml:space="preserve">, </w:t>
      </w:r>
      <w:r w:rsidRPr="00DD7919">
        <w:rPr>
          <w:rFonts w:cs="Arial"/>
        </w:rPr>
        <w:t>Accessed</w:t>
      </w:r>
      <w:r>
        <w:rPr>
          <w:rFonts w:cs="Arial"/>
          <w:b/>
        </w:rPr>
        <w:t xml:space="preserve"> </w:t>
      </w:r>
      <w:r w:rsidRPr="00DD7919">
        <w:rPr>
          <w:rFonts w:cs="Arial"/>
        </w:rPr>
        <w:t>August 6, 2004.</w:t>
      </w:r>
    </w:p>
  </w:footnote>
  <w:footnote w:id="4">
    <w:p w:rsidR="00F312AF" w:rsidRPr="00BA7F07" w:rsidRDefault="00F312AF" w:rsidP="00C30DB7">
      <w:pPr>
        <w:pStyle w:val="FootnoteText"/>
        <w:jc w:val="both"/>
        <w:rPr>
          <w:lang w:val="en-CA"/>
        </w:rPr>
      </w:pPr>
      <w:r>
        <w:rPr>
          <w:rStyle w:val="FootnoteReference"/>
        </w:rPr>
        <w:footnoteRef/>
      </w:r>
      <w:r>
        <w:t xml:space="preserve"> </w:t>
      </w:r>
      <w:r w:rsidRPr="00A0677E">
        <w:rPr>
          <w:rFonts w:cs="Arial"/>
          <w:b/>
        </w:rPr>
        <w:t xml:space="preserve"> </w:t>
      </w:r>
      <w:r>
        <w:rPr>
          <w:rFonts w:cs="Arial"/>
        </w:rPr>
        <w:t xml:space="preserve">See </w:t>
      </w:r>
      <w:hyperlink r:id="rId2" w:history="1">
        <w:r w:rsidRPr="00A0677E">
          <w:rPr>
            <w:rStyle w:val="Hyperlink"/>
            <w:rFonts w:eastAsiaTheme="majorEastAsia" w:cs="Arial"/>
          </w:rPr>
          <w:t>www.city.vancouver.bc.ca/erc</w:t>
        </w:r>
      </w:hyperlink>
      <w:r w:rsidRPr="00A0677E">
        <w:rPr>
          <w:rFonts w:cs="Arial"/>
          <w:b/>
        </w:rPr>
        <w:t xml:space="preserve"> .</w:t>
      </w:r>
      <w:r w:rsidRPr="00324444">
        <w:rPr>
          <w:rFonts w:cs="Arial"/>
        </w:rPr>
        <w:t>for</w:t>
      </w:r>
      <w:r>
        <w:rPr>
          <w:rFonts w:cs="Arial"/>
          <w:b/>
        </w:rPr>
        <w:t xml:space="preserve"> </w:t>
      </w:r>
      <w:r w:rsidRPr="00324444">
        <w:rPr>
          <w:rFonts w:cs="Arial"/>
          <w:i/>
        </w:rPr>
        <w:t>A CITY OF NEIGHBOURHOODS: REPORT OF THE 2004 VANCOUVER ELECTORAL REFORM COMMISSION</w:t>
      </w:r>
      <w:r w:rsidRPr="00C30DB7">
        <w:rPr>
          <w:rFonts w:cs="Arial"/>
          <w:i/>
        </w:rPr>
        <w:t xml:space="preserve">, </w:t>
      </w:r>
      <w:r w:rsidRPr="00C30DB7">
        <w:rPr>
          <w:rFonts w:cs="Arial"/>
        </w:rPr>
        <w:t xml:space="preserve">Thomas Berger, Commissioner, (City of Vancouver, </w:t>
      </w:r>
      <w:r>
        <w:rPr>
          <w:rFonts w:cs="Arial"/>
        </w:rPr>
        <w:t>J</w:t>
      </w:r>
      <w:r w:rsidRPr="00C30DB7">
        <w:rPr>
          <w:rFonts w:cs="Arial"/>
        </w:rPr>
        <w:t>une 2004</w:t>
      </w:r>
      <w:r>
        <w:rPr>
          <w:rFonts w:cs="Arial"/>
        </w:rPr>
        <w:t xml:space="preserve">, </w:t>
      </w:r>
      <w:r w:rsidRPr="00C30DB7">
        <w:rPr>
          <w:rFonts w:cs="Arial"/>
        </w:rPr>
        <w:t>and personal correspondence with author,July 2004.)</w:t>
      </w:r>
    </w:p>
  </w:footnote>
  <w:footnote w:id="5">
    <w:p w:rsidR="00F312AF" w:rsidRPr="00A0677E" w:rsidRDefault="00F312AF" w:rsidP="00226659">
      <w:pPr>
        <w:jc w:val="both"/>
        <w:rPr>
          <w:rFonts w:cs="Arial"/>
          <w:sz w:val="20"/>
        </w:rPr>
      </w:pPr>
      <w:r>
        <w:rPr>
          <w:rStyle w:val="FootnoteReference"/>
        </w:rPr>
        <w:footnoteRef/>
      </w:r>
      <w:r>
        <w:t xml:space="preserve"> </w:t>
      </w:r>
      <w:r w:rsidRPr="00226659">
        <w:rPr>
          <w:sz w:val="20"/>
          <w:szCs w:val="20"/>
        </w:rPr>
        <w:t>Robert</w:t>
      </w:r>
      <w:r>
        <w:t xml:space="preserve"> </w:t>
      </w:r>
      <w:r w:rsidRPr="00A0677E">
        <w:rPr>
          <w:rFonts w:cs="Arial"/>
          <w:sz w:val="20"/>
        </w:rPr>
        <w:t xml:space="preserve">Bish, </w:t>
      </w:r>
      <w:r w:rsidRPr="00A0677E">
        <w:rPr>
          <w:rFonts w:cs="Arial"/>
          <w:i/>
          <w:sz w:val="20"/>
        </w:rPr>
        <w:t>The Draft Community Charter: Comments</w:t>
      </w:r>
      <w:r w:rsidRPr="00A0677E">
        <w:rPr>
          <w:rFonts w:cs="Arial"/>
          <w:sz w:val="20"/>
        </w:rPr>
        <w:t>, Paper Prepared for The Workshop on the Community Charter sponsored by the Local Government</w:t>
      </w:r>
      <w:r>
        <w:rPr>
          <w:rFonts w:cs="Arial"/>
          <w:sz w:val="20"/>
        </w:rPr>
        <w:t xml:space="preserve"> </w:t>
      </w:r>
      <w:r w:rsidRPr="00A0677E">
        <w:rPr>
          <w:rFonts w:cs="Arial"/>
          <w:sz w:val="20"/>
        </w:rPr>
        <w:t>Institute and the School of Public</w:t>
      </w:r>
      <w:r>
        <w:rPr>
          <w:rFonts w:cs="Arial"/>
          <w:sz w:val="20"/>
        </w:rPr>
        <w:t xml:space="preserve"> </w:t>
      </w:r>
      <w:r w:rsidRPr="00A0677E">
        <w:rPr>
          <w:rFonts w:cs="Arial"/>
          <w:sz w:val="20"/>
        </w:rPr>
        <w:t>Administration, University of Victoria, June 14</w:t>
      </w:r>
      <w:r>
        <w:rPr>
          <w:rFonts w:cs="Arial"/>
          <w:sz w:val="20"/>
        </w:rPr>
        <w:t>, 2002</w:t>
      </w:r>
      <w:r w:rsidRPr="00A0677E">
        <w:rPr>
          <w:rFonts w:cs="Arial"/>
          <w:sz w:val="20"/>
        </w:rPr>
        <w:t>.</w:t>
      </w:r>
    </w:p>
    <w:p w:rsidR="00F312AF" w:rsidRPr="00226659" w:rsidRDefault="00F312AF">
      <w:pPr>
        <w:pStyle w:val="FootnoteText"/>
        <w:rPr>
          <w:lang w:val="en-CA"/>
        </w:rPr>
      </w:pPr>
    </w:p>
  </w:footnote>
  <w:footnote w:id="6">
    <w:p w:rsidR="00F312AF" w:rsidRPr="006B4D8D" w:rsidRDefault="00F312AF">
      <w:pPr>
        <w:pStyle w:val="FootnoteText"/>
        <w:rPr>
          <w:lang w:val="en-CA"/>
        </w:rPr>
      </w:pPr>
      <w:r>
        <w:rPr>
          <w:rStyle w:val="FootnoteReference"/>
        </w:rPr>
        <w:footnoteRef/>
      </w:r>
      <w:r>
        <w:t xml:space="preserve"> </w:t>
      </w:r>
      <w:r>
        <w:rPr>
          <w:lang w:val="en-CA"/>
        </w:rPr>
        <w:t xml:space="preserve">See </w:t>
      </w:r>
      <w:r>
        <w:rPr>
          <w:i/>
          <w:lang w:val="en-CA"/>
        </w:rPr>
        <w:t xml:space="preserve">Summary of Local Government Legislation, 2005, </w:t>
      </w:r>
      <w:r>
        <w:rPr>
          <w:lang w:val="en-CA"/>
        </w:rPr>
        <w:t>(Victoria: Ministry of Community Services, 2005).</w:t>
      </w:r>
    </w:p>
  </w:footnote>
  <w:footnote w:id="7">
    <w:p w:rsidR="00F312AF" w:rsidRPr="00C20BA8" w:rsidRDefault="00F312AF" w:rsidP="004D5CDE">
      <w:pPr>
        <w:jc w:val="both"/>
        <w:rPr>
          <w:lang w:val="en-CA"/>
        </w:rPr>
      </w:pPr>
      <w:r w:rsidRPr="00C20BA8">
        <w:rPr>
          <w:rStyle w:val="FootnoteReference"/>
          <w:sz w:val="20"/>
          <w:szCs w:val="20"/>
        </w:rPr>
        <w:footnoteRef/>
      </w:r>
      <w:r w:rsidRPr="00C20BA8">
        <w:rPr>
          <w:sz w:val="20"/>
          <w:szCs w:val="20"/>
        </w:rPr>
        <w:t xml:space="preserve"> </w:t>
      </w:r>
      <w:r w:rsidRPr="00C20BA8">
        <w:rPr>
          <w:sz w:val="20"/>
          <w:szCs w:val="20"/>
          <w:lang w:val="en-CA"/>
        </w:rPr>
        <w:t xml:space="preserve">See P.J. Smith, </w:t>
      </w:r>
      <w:r w:rsidRPr="00C20BA8">
        <w:rPr>
          <w:rFonts w:cs="Arial"/>
          <w:i/>
          <w:color w:val="000000"/>
          <w:sz w:val="20"/>
          <w:szCs w:val="20"/>
        </w:rPr>
        <w:t xml:space="preserve">British Columbia Changes Metro Vancouver’s Transportation Governance: A Re-Examination of Peter Self’s Dilemma Thesis: Efficiency vs. Accountability?” </w:t>
      </w:r>
      <w:r w:rsidRPr="00C20BA8">
        <w:rPr>
          <w:rFonts w:cs="Arial"/>
          <w:color w:val="000000"/>
          <w:sz w:val="20"/>
          <w:szCs w:val="20"/>
        </w:rPr>
        <w:t xml:space="preserve">in </w:t>
      </w:r>
      <w:r w:rsidRPr="00C20BA8">
        <w:rPr>
          <w:rFonts w:cs="Arial"/>
          <w:i/>
          <w:color w:val="000000"/>
          <w:sz w:val="20"/>
          <w:szCs w:val="20"/>
          <w:u w:val="single"/>
        </w:rPr>
        <w:t>Local Matters</w:t>
      </w:r>
      <w:r w:rsidRPr="00C20BA8">
        <w:rPr>
          <w:rFonts w:cs="Arial"/>
          <w:color w:val="000000"/>
          <w:sz w:val="20"/>
          <w:szCs w:val="20"/>
        </w:rPr>
        <w:t>, vol.2, April 2008, (Auckland, NZ: Institute of Public Policy,: Local Government Centre), pp.2-5</w:t>
      </w:r>
      <w:r w:rsidRPr="00C20BA8">
        <w:rPr>
          <w:rFonts w:cs="Arial"/>
          <w:sz w:val="20"/>
          <w:szCs w:val="20"/>
        </w:rPr>
        <w:t>.</w:t>
      </w:r>
    </w:p>
  </w:footnote>
  <w:footnote w:id="8">
    <w:p w:rsidR="00F312AF" w:rsidRPr="00C20BA8" w:rsidRDefault="00F312AF" w:rsidP="00B230E4">
      <w:pPr>
        <w:overflowPunct w:val="0"/>
        <w:autoSpaceDE w:val="0"/>
        <w:autoSpaceDN w:val="0"/>
        <w:adjustRightInd w:val="0"/>
        <w:spacing w:line="240" w:lineRule="atLeast"/>
        <w:jc w:val="both"/>
        <w:textAlignment w:val="baseline"/>
        <w:rPr>
          <w:lang w:val="en-CA"/>
        </w:rPr>
      </w:pPr>
      <w:r w:rsidRPr="00E73B76">
        <w:rPr>
          <w:rStyle w:val="FootnoteReference"/>
          <w:sz w:val="20"/>
          <w:szCs w:val="20"/>
        </w:rPr>
        <w:footnoteRef/>
      </w:r>
      <w:r w:rsidRPr="00E73B76">
        <w:rPr>
          <w:sz w:val="20"/>
          <w:szCs w:val="20"/>
        </w:rPr>
        <w:t xml:space="preserve"> </w:t>
      </w:r>
      <w:r w:rsidRPr="00E73B76">
        <w:rPr>
          <w:sz w:val="20"/>
          <w:szCs w:val="20"/>
          <w:lang w:val="en-CA"/>
        </w:rPr>
        <w:t>See P.J. Smith</w:t>
      </w:r>
      <w:r>
        <w:rPr>
          <w:sz w:val="20"/>
          <w:szCs w:val="20"/>
          <w:lang w:val="en-CA"/>
        </w:rPr>
        <w:t xml:space="preserve"> and H.Peter Oberlander,</w:t>
      </w:r>
      <w:r w:rsidRPr="00E73B76">
        <w:rPr>
          <w:sz w:val="20"/>
          <w:szCs w:val="20"/>
          <w:lang w:val="en-CA"/>
        </w:rPr>
        <w:t>,</w:t>
      </w:r>
      <w:r w:rsidRPr="00E73B76">
        <w:rPr>
          <w:rFonts w:cs="Arial"/>
          <w:sz w:val="20"/>
          <w:szCs w:val="20"/>
        </w:rPr>
        <w:t xml:space="preserve">"Governing Metropolitan Vancouver: Regional Intergovernmental Relations In British Columbia", in Donald N. Rothblatt and Andrew  Sancton, eds., </w:t>
      </w:r>
      <w:r w:rsidRPr="006662CC">
        <w:rPr>
          <w:rFonts w:cs="Arial"/>
          <w:i/>
          <w:sz w:val="20"/>
          <w:szCs w:val="20"/>
        </w:rPr>
        <w:t>METROPOLITAN GOVERNANCE: AMERICAN/ CANADIAN INTERGOVERNMENTAL PERSPECTIVES</w:t>
      </w:r>
      <w:r w:rsidRPr="006662CC">
        <w:rPr>
          <w:rFonts w:cs="Arial"/>
          <w:sz w:val="20"/>
          <w:szCs w:val="20"/>
        </w:rPr>
        <w:t xml:space="preserve">, </w:t>
      </w:r>
      <w:r w:rsidRPr="00E73B76">
        <w:rPr>
          <w:rFonts w:cs="Arial"/>
          <w:sz w:val="20"/>
          <w:szCs w:val="20"/>
        </w:rPr>
        <w:t>(Berkeley, California: Institute of Governmental Studies Press, University of California, 1993), pp.329 - 373.</w:t>
      </w:r>
      <w:r>
        <w:rPr>
          <w:rFonts w:cs="Arial"/>
          <w:b/>
          <w:sz w:val="20"/>
          <w:szCs w:val="20"/>
        </w:rPr>
        <w:t xml:space="preserve"> </w:t>
      </w:r>
      <w:r w:rsidRPr="00E73B76">
        <w:rPr>
          <w:rFonts w:cs="Arial"/>
          <w:sz w:val="20"/>
          <w:szCs w:val="20"/>
        </w:rPr>
        <w:t xml:space="preserve">And </w:t>
      </w:r>
      <w:r>
        <w:rPr>
          <w:rFonts w:cs="Arial"/>
          <w:sz w:val="20"/>
          <w:szCs w:val="20"/>
        </w:rPr>
        <w:t xml:space="preserve">P.J. Smith, </w:t>
      </w:r>
      <w:r w:rsidRPr="00E73B76">
        <w:rPr>
          <w:rFonts w:cs="Arial"/>
          <w:sz w:val="20"/>
          <w:szCs w:val="20"/>
        </w:rPr>
        <w:t xml:space="preserve">“Even Greater Vancouver: Metropolitan Morphing in Canada’s Third Largest City Region”,* in </w:t>
      </w:r>
      <w:r w:rsidRPr="00E73B76">
        <w:rPr>
          <w:rFonts w:cs="Arial"/>
          <w:i/>
          <w:sz w:val="20"/>
          <w:szCs w:val="20"/>
        </w:rPr>
        <w:t>Who Will Govern Metropolitan Regions in the 21</w:t>
      </w:r>
      <w:r w:rsidRPr="00E73B76">
        <w:rPr>
          <w:rFonts w:cs="Arial"/>
          <w:i/>
          <w:sz w:val="20"/>
          <w:szCs w:val="20"/>
          <w:vertAlign w:val="superscript"/>
        </w:rPr>
        <w:t>st</w:t>
      </w:r>
      <w:r w:rsidRPr="00E73B76">
        <w:rPr>
          <w:rFonts w:cs="Arial"/>
          <w:i/>
          <w:sz w:val="20"/>
          <w:szCs w:val="20"/>
        </w:rPr>
        <w:t xml:space="preserve"> Century?, </w:t>
      </w:r>
      <w:r w:rsidRPr="00E73B76">
        <w:rPr>
          <w:rFonts w:cs="Arial"/>
          <w:sz w:val="20"/>
          <w:szCs w:val="20"/>
        </w:rPr>
        <w:t>Don Phares, Editor, [Armonk, NY: M.E. Sharpe, 2009], Ch.13.</w:t>
      </w:r>
    </w:p>
  </w:footnote>
  <w:footnote w:id="9">
    <w:p w:rsidR="00F312AF" w:rsidRPr="00EF39DD" w:rsidRDefault="00F312AF" w:rsidP="006662CC">
      <w:pPr>
        <w:pStyle w:val="EndnoteText"/>
        <w:jc w:val="both"/>
        <w:rPr>
          <w:lang w:val="en-CA"/>
        </w:rPr>
      </w:pPr>
      <w:r>
        <w:rPr>
          <w:rStyle w:val="FootnoteReference"/>
        </w:rPr>
        <w:footnoteRef/>
      </w:r>
      <w:r>
        <w:t xml:space="preserve"> </w:t>
      </w:r>
      <w:r w:rsidRPr="004F3C60">
        <w:rPr>
          <w:rFonts w:ascii="Arial" w:hAnsi="Arial" w:cs="Arial"/>
        </w:rPr>
        <w:t xml:space="preserve">Paul Tennant and David Zirnhelt, "Metropolitan Government in Vancouver: The Politics of 'Gentle Imposition' ", </w:t>
      </w:r>
      <w:r w:rsidRPr="006662CC">
        <w:rPr>
          <w:rFonts w:ascii="Arial" w:hAnsi="Arial" w:cs="Arial"/>
          <w:i/>
        </w:rPr>
        <w:t>CAN</w:t>
      </w:r>
      <w:r w:rsidRPr="00EF39DD">
        <w:rPr>
          <w:rFonts w:ascii="Arial" w:hAnsi="Arial" w:cs="Arial"/>
          <w:i/>
        </w:rPr>
        <w:t>ADIAN PUBLIC ADMINISTRATION</w:t>
      </w:r>
      <w:r w:rsidRPr="00EF39DD">
        <w:rPr>
          <w:rFonts w:ascii="Arial" w:hAnsi="Arial" w:cs="Arial"/>
        </w:rPr>
        <w:t>, vol.16, Spring, 1973, pp.124-38.</w:t>
      </w:r>
    </w:p>
  </w:footnote>
  <w:footnote w:id="10">
    <w:p w:rsidR="00F312AF" w:rsidRPr="00EF39DD" w:rsidRDefault="00F312AF" w:rsidP="006662CC">
      <w:pPr>
        <w:pStyle w:val="FootnoteText"/>
        <w:jc w:val="both"/>
        <w:rPr>
          <w:lang w:val="en-CA"/>
        </w:rPr>
      </w:pPr>
      <w:r w:rsidRPr="00EF39DD">
        <w:rPr>
          <w:rStyle w:val="FootnoteReference"/>
        </w:rPr>
        <w:footnoteRef/>
      </w:r>
      <w:r w:rsidRPr="00EF39DD">
        <w:t xml:space="preserve"> For more on this era see </w:t>
      </w:r>
      <w:r w:rsidRPr="00EF39DD">
        <w:rPr>
          <w:rFonts w:cs="Arial"/>
        </w:rPr>
        <w:t>Warren Magnusson et. al., eds.,</w:t>
      </w:r>
      <w:r w:rsidRPr="00EF39DD">
        <w:rPr>
          <w:rFonts w:cs="Arial"/>
          <w:i/>
        </w:rPr>
        <w:t xml:space="preserve"> THE NEW REALITY; The Politics of Restraint in BC</w:t>
      </w:r>
      <w:r w:rsidRPr="00EF39DD">
        <w:rPr>
          <w:rFonts w:cs="Arial"/>
        </w:rPr>
        <w:t>, (Vancouver: New Star, 1984).</w:t>
      </w:r>
    </w:p>
  </w:footnote>
  <w:footnote w:id="11">
    <w:p w:rsidR="00F312AF" w:rsidRPr="00971F9D" w:rsidRDefault="00F312AF">
      <w:pPr>
        <w:pStyle w:val="FootnoteText"/>
        <w:rPr>
          <w:lang w:val="en-CA"/>
        </w:rPr>
      </w:pPr>
      <w:r>
        <w:rPr>
          <w:rStyle w:val="FootnoteReference"/>
        </w:rPr>
        <w:footnoteRef/>
      </w:r>
      <w:r>
        <w:t xml:space="preserve"> </w:t>
      </w:r>
      <w:r>
        <w:rPr>
          <w:lang w:val="en-CA"/>
        </w:rPr>
        <w:t>See Bill 43, Greater Vancouver Transportation Authority Amendment Act, 2007, (Victoria, Ministry of Community Services, 2007).</w:t>
      </w:r>
    </w:p>
  </w:footnote>
  <w:footnote w:id="12">
    <w:p w:rsidR="00F312AF" w:rsidRPr="00971F9D" w:rsidRDefault="00F312AF">
      <w:pPr>
        <w:pStyle w:val="FootnoteText"/>
        <w:rPr>
          <w:lang w:val="en-CA"/>
        </w:rPr>
      </w:pPr>
      <w:r>
        <w:rPr>
          <w:rStyle w:val="FootnoteReference"/>
        </w:rPr>
        <w:footnoteRef/>
      </w:r>
      <w:r>
        <w:t xml:space="preserve"> </w:t>
      </w:r>
      <w:r>
        <w:rPr>
          <w:lang w:val="en-CA"/>
        </w:rPr>
        <w:t xml:space="preserve">See The (Lambert) Royal Commission on Financial Management and Accountability, </w:t>
      </w:r>
      <w:r>
        <w:rPr>
          <w:i/>
          <w:lang w:val="en-CA"/>
        </w:rPr>
        <w:t xml:space="preserve">Report, </w:t>
      </w:r>
      <w:r>
        <w:rPr>
          <w:lang w:val="en-CA"/>
        </w:rPr>
        <w:t>(Ottawa:  Government of Canada, 1979) – on “Closing the Accountability Gap.”</w:t>
      </w:r>
    </w:p>
  </w:footnote>
  <w:footnote w:id="13">
    <w:p w:rsidR="004474D8" w:rsidRPr="00571D1A" w:rsidRDefault="004474D8" w:rsidP="004474D8">
      <w:pPr>
        <w:pStyle w:val="FootnoteText"/>
        <w:rPr>
          <w:i/>
          <w:lang w:val="en-CA"/>
        </w:rPr>
      </w:pPr>
      <w:r>
        <w:rPr>
          <w:rStyle w:val="FootnoteReference"/>
        </w:rPr>
        <w:footnoteRef/>
      </w:r>
      <w:r>
        <w:t xml:space="preserve"> See P. Smith, “BC Needs a Municipal Registrar of Lobbyists” in </w:t>
      </w:r>
      <w:r>
        <w:rPr>
          <w:i/>
        </w:rPr>
        <w:t xml:space="preserve">Influencing BC, </w:t>
      </w:r>
      <w:r w:rsidRPr="004D39B5">
        <w:t>vol.2, #2, May 2012, pp.7-8.</w:t>
      </w:r>
    </w:p>
  </w:footnote>
  <w:footnote w:id="14">
    <w:p w:rsidR="00F312AF" w:rsidRPr="00F312AF" w:rsidRDefault="00F312AF" w:rsidP="00F312AF">
      <w:pPr>
        <w:jc w:val="both"/>
        <w:rPr>
          <w:sz w:val="20"/>
          <w:szCs w:val="20"/>
        </w:rPr>
      </w:pPr>
      <w:r w:rsidRPr="00F312AF">
        <w:rPr>
          <w:rStyle w:val="FootnoteReference"/>
          <w:sz w:val="20"/>
          <w:szCs w:val="20"/>
        </w:rPr>
        <w:footnoteRef/>
      </w:r>
      <w:r w:rsidRPr="00F312AF">
        <w:rPr>
          <w:sz w:val="20"/>
          <w:szCs w:val="20"/>
        </w:rPr>
        <w:t xml:space="preserve"> </w:t>
      </w:r>
      <w:r w:rsidRPr="00F312AF">
        <w:rPr>
          <w:sz w:val="20"/>
          <w:szCs w:val="20"/>
          <w:lang w:val="en-CA"/>
        </w:rPr>
        <w:t xml:space="preserve">On this, see, for example, </w:t>
      </w:r>
      <w:r>
        <w:rPr>
          <w:sz w:val="20"/>
          <w:szCs w:val="20"/>
          <w:lang w:val="en-CA"/>
        </w:rPr>
        <w:t>Kennedy Stewart and Patrick Smith, “</w:t>
      </w:r>
      <w:r w:rsidRPr="00F312AF">
        <w:rPr>
          <w:sz w:val="20"/>
          <w:szCs w:val="20"/>
        </w:rPr>
        <w:t>Improving Local Democracy in British Columbia</w:t>
      </w:r>
      <w:r>
        <w:rPr>
          <w:sz w:val="20"/>
          <w:szCs w:val="20"/>
        </w:rPr>
        <w:t xml:space="preserve">”, </w:t>
      </w:r>
      <w:r w:rsidRPr="00F312AF">
        <w:rPr>
          <w:sz w:val="20"/>
          <w:szCs w:val="20"/>
        </w:rPr>
        <w:t>Invited Brief</w:t>
      </w:r>
      <w:r>
        <w:rPr>
          <w:sz w:val="20"/>
          <w:szCs w:val="20"/>
        </w:rPr>
        <w:t xml:space="preserve"> </w:t>
      </w:r>
      <w:r w:rsidRPr="00F312AF">
        <w:rPr>
          <w:sz w:val="20"/>
          <w:szCs w:val="20"/>
        </w:rPr>
        <w:t>for the</w:t>
      </w:r>
      <w:r>
        <w:rPr>
          <w:sz w:val="20"/>
          <w:szCs w:val="20"/>
        </w:rPr>
        <w:t xml:space="preserve"> </w:t>
      </w:r>
      <w:r w:rsidRPr="00F312AF">
        <w:rPr>
          <w:sz w:val="20"/>
          <w:szCs w:val="20"/>
          <w:u w:val="single"/>
        </w:rPr>
        <w:t>Local Government Elections Task Force</w:t>
      </w:r>
      <w:r>
        <w:rPr>
          <w:sz w:val="20"/>
          <w:szCs w:val="20"/>
          <w:u w:val="single"/>
        </w:rPr>
        <w:t xml:space="preserve">, </w:t>
      </w:r>
      <w:r w:rsidRPr="00F312AF">
        <w:rPr>
          <w:sz w:val="20"/>
          <w:szCs w:val="20"/>
        </w:rPr>
        <w:t>BC Ministry of Community and Rural Development / Union of BC Municipalities</w:t>
      </w:r>
      <w:r>
        <w:rPr>
          <w:sz w:val="20"/>
          <w:szCs w:val="20"/>
        </w:rPr>
        <w:t xml:space="preserve"> </w:t>
      </w:r>
      <w:r w:rsidRPr="00F312AF">
        <w:rPr>
          <w:sz w:val="20"/>
          <w:szCs w:val="20"/>
        </w:rPr>
        <w:t>@ Union of British Columbia Municipalities Offices</w:t>
      </w:r>
      <w:r>
        <w:rPr>
          <w:sz w:val="20"/>
          <w:szCs w:val="20"/>
        </w:rPr>
        <w:t xml:space="preserve">, </w:t>
      </w:r>
      <w:r w:rsidRPr="00F312AF">
        <w:rPr>
          <w:sz w:val="20"/>
          <w:szCs w:val="20"/>
        </w:rPr>
        <w:t>Richmond, BC</w:t>
      </w:r>
      <w:r>
        <w:rPr>
          <w:sz w:val="20"/>
          <w:szCs w:val="20"/>
        </w:rPr>
        <w:t xml:space="preserve">, </w:t>
      </w:r>
      <w:r w:rsidRPr="00F312AF">
        <w:rPr>
          <w:sz w:val="20"/>
          <w:szCs w:val="20"/>
        </w:rPr>
        <w:t>February 5, 2010</w:t>
      </w:r>
      <w:r>
        <w:rPr>
          <w:sz w:val="20"/>
          <w:szCs w:val="20"/>
        </w:rPr>
        <w:t>; and P. Smith, “An Airplane With One Wing: The BC Local Elections Task Force Report – Fixing “the Fix”, Brief for Ministry, February, 2011.</w:t>
      </w:r>
    </w:p>
    <w:p w:rsidR="00F312AF" w:rsidRPr="00F312AF" w:rsidRDefault="00F312AF">
      <w:pPr>
        <w:pStyle w:val="FootnoteText"/>
        <w:rPr>
          <w:lang w:val="en-C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346AFC6"/>
    <w:lvl w:ilvl="0">
      <w:numFmt w:val="decimal"/>
      <w:lvlText w:val="*"/>
      <w:lvlJc w:val="left"/>
    </w:lvl>
  </w:abstractNum>
  <w:abstractNum w:abstractNumId="1">
    <w:nsid w:val="107C2302"/>
    <w:multiLevelType w:val="hybridMultilevel"/>
    <w:tmpl w:val="77A0DB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0102CB"/>
    <w:multiLevelType w:val="singleLevel"/>
    <w:tmpl w:val="B874A78C"/>
    <w:lvl w:ilvl="0">
      <w:start w:val="1"/>
      <w:numFmt w:val="decimal"/>
      <w:lvlText w:val="%1."/>
      <w:legacy w:legacy="1" w:legacySpace="0" w:legacyIndent="360"/>
      <w:lvlJc w:val="left"/>
      <w:pPr>
        <w:ind w:left="360" w:hanging="360"/>
      </w:pPr>
    </w:lvl>
  </w:abstractNum>
  <w:abstractNum w:abstractNumId="3">
    <w:nsid w:val="29BE1D3B"/>
    <w:multiLevelType w:val="hybridMultilevel"/>
    <w:tmpl w:val="403CC2A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ECD2F26"/>
    <w:multiLevelType w:val="hybridMultilevel"/>
    <w:tmpl w:val="D772D7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8B3CA3"/>
    <w:multiLevelType w:val="hybridMultilevel"/>
    <w:tmpl w:val="DD6E4DF2"/>
    <w:lvl w:ilvl="0" w:tplc="6440793E">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3E212C0"/>
    <w:multiLevelType w:val="hybridMultilevel"/>
    <w:tmpl w:val="410CF0B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4B96DCD"/>
    <w:multiLevelType w:val="hybridMultilevel"/>
    <w:tmpl w:val="5CDCC4E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E5C1BC0"/>
    <w:multiLevelType w:val="hybridMultilevel"/>
    <w:tmpl w:val="CDF8211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231262E"/>
    <w:multiLevelType w:val="hybridMultilevel"/>
    <w:tmpl w:val="D6EA4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4BB46D2"/>
    <w:multiLevelType w:val="hybridMultilevel"/>
    <w:tmpl w:val="4E86C4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5F4F1416"/>
    <w:multiLevelType w:val="hybridMultilevel"/>
    <w:tmpl w:val="355C5D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1890264"/>
    <w:multiLevelType w:val="multilevel"/>
    <w:tmpl w:val="983A5672"/>
    <w:lvl w:ilvl="0">
      <w:start w:val="1"/>
      <w:numFmt w:val="decimal"/>
      <w:lvlText w:val="%1."/>
      <w:legacy w:legacy="1" w:legacySpace="120" w:legacyIndent="360"/>
      <w:lvlJc w:val="left"/>
      <w:pPr>
        <w:ind w:left="360" w:hanging="360"/>
      </w:pPr>
    </w:lvl>
    <w:lvl w:ilvl="1">
      <w:start w:val="1"/>
      <w:numFmt w:val="lowerLetter"/>
      <w:lvlText w:val="%2."/>
      <w:legacy w:legacy="1" w:legacySpace="120" w:legacyIndent="432"/>
      <w:lvlJc w:val="left"/>
      <w:pPr>
        <w:ind w:left="792" w:hanging="432"/>
      </w:pPr>
    </w:lvl>
    <w:lvl w:ilvl="2">
      <w:start w:val="1"/>
      <w:numFmt w:val="decimal"/>
      <w:lvlText w:val=".%3."/>
      <w:legacy w:legacy="1" w:legacySpace="120" w:legacyIndent="504"/>
      <w:lvlJc w:val="left"/>
      <w:pPr>
        <w:ind w:left="1296" w:hanging="504"/>
      </w:pPr>
    </w:lvl>
    <w:lvl w:ilvl="3">
      <w:start w:val="1"/>
      <w:numFmt w:val="decimal"/>
      <w:lvlText w:val=".%3.%4."/>
      <w:legacy w:legacy="1" w:legacySpace="120" w:legacyIndent="648"/>
      <w:lvlJc w:val="left"/>
      <w:pPr>
        <w:ind w:left="1944" w:hanging="648"/>
      </w:pPr>
    </w:lvl>
    <w:lvl w:ilvl="4">
      <w:start w:val="1"/>
      <w:numFmt w:val="decimal"/>
      <w:lvlText w:val=".%3.%4.%5."/>
      <w:legacy w:legacy="1" w:legacySpace="120" w:legacyIndent="792"/>
      <w:lvlJc w:val="left"/>
      <w:pPr>
        <w:ind w:left="2736" w:hanging="792"/>
      </w:pPr>
    </w:lvl>
    <w:lvl w:ilvl="5">
      <w:start w:val="1"/>
      <w:numFmt w:val="decimal"/>
      <w:lvlText w:val=".%3.%4.%5.%6."/>
      <w:legacy w:legacy="1" w:legacySpace="120" w:legacyIndent="936"/>
      <w:lvlJc w:val="left"/>
      <w:pPr>
        <w:ind w:left="3672" w:hanging="936"/>
      </w:pPr>
    </w:lvl>
    <w:lvl w:ilvl="6">
      <w:start w:val="1"/>
      <w:numFmt w:val="decimal"/>
      <w:lvlText w:val=".%3.%4.%5.%6.%7."/>
      <w:legacy w:legacy="1" w:legacySpace="120" w:legacyIndent="1080"/>
      <w:lvlJc w:val="left"/>
      <w:pPr>
        <w:ind w:left="4752" w:hanging="1080"/>
      </w:pPr>
    </w:lvl>
    <w:lvl w:ilvl="7">
      <w:start w:val="1"/>
      <w:numFmt w:val="decimal"/>
      <w:lvlText w:val=".%3.%4.%5.%6.%7.%8."/>
      <w:legacy w:legacy="1" w:legacySpace="120" w:legacyIndent="1224"/>
      <w:lvlJc w:val="left"/>
      <w:pPr>
        <w:ind w:left="5976" w:hanging="1224"/>
      </w:pPr>
    </w:lvl>
    <w:lvl w:ilvl="8">
      <w:start w:val="1"/>
      <w:numFmt w:val="decimal"/>
      <w:lvlText w:val=".%3.%4.%5.%6.%7.%8.%9."/>
      <w:legacy w:legacy="1" w:legacySpace="120" w:legacyIndent="1440"/>
      <w:lvlJc w:val="left"/>
      <w:pPr>
        <w:ind w:left="7416" w:hanging="1440"/>
      </w:pPr>
    </w:lvl>
  </w:abstractNum>
  <w:abstractNum w:abstractNumId="13">
    <w:nsid w:val="62982EA3"/>
    <w:multiLevelType w:val="singleLevel"/>
    <w:tmpl w:val="DD2C738A"/>
    <w:lvl w:ilvl="0">
      <w:start w:val="1"/>
      <w:numFmt w:val="decimal"/>
      <w:lvlText w:val="%1)"/>
      <w:legacy w:legacy="1" w:legacySpace="120" w:legacyIndent="360"/>
      <w:lvlJc w:val="left"/>
      <w:pPr>
        <w:ind w:left="360" w:hanging="360"/>
      </w:pPr>
    </w:lvl>
  </w:abstractNum>
  <w:abstractNum w:abstractNumId="14">
    <w:nsid w:val="630B77B8"/>
    <w:multiLevelType w:val="hybridMultilevel"/>
    <w:tmpl w:val="3CBAFD2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68435AC"/>
    <w:multiLevelType w:val="multilevel"/>
    <w:tmpl w:val="983A5672"/>
    <w:lvl w:ilvl="0">
      <w:start w:val="1"/>
      <w:numFmt w:val="decimal"/>
      <w:lvlText w:val="%1."/>
      <w:legacy w:legacy="1" w:legacySpace="120" w:legacyIndent="360"/>
      <w:lvlJc w:val="left"/>
      <w:pPr>
        <w:ind w:left="360" w:hanging="360"/>
      </w:pPr>
    </w:lvl>
    <w:lvl w:ilvl="1">
      <w:start w:val="1"/>
      <w:numFmt w:val="lowerLetter"/>
      <w:lvlText w:val="%2."/>
      <w:legacy w:legacy="1" w:legacySpace="120" w:legacyIndent="432"/>
      <w:lvlJc w:val="left"/>
      <w:pPr>
        <w:ind w:left="792" w:hanging="432"/>
      </w:pPr>
    </w:lvl>
    <w:lvl w:ilvl="2">
      <w:start w:val="1"/>
      <w:numFmt w:val="decimal"/>
      <w:lvlText w:val=".%3."/>
      <w:legacy w:legacy="1" w:legacySpace="120" w:legacyIndent="504"/>
      <w:lvlJc w:val="left"/>
      <w:pPr>
        <w:ind w:left="1296" w:hanging="504"/>
      </w:pPr>
    </w:lvl>
    <w:lvl w:ilvl="3">
      <w:start w:val="1"/>
      <w:numFmt w:val="decimal"/>
      <w:lvlText w:val=".%3.%4."/>
      <w:legacy w:legacy="1" w:legacySpace="120" w:legacyIndent="648"/>
      <w:lvlJc w:val="left"/>
      <w:pPr>
        <w:ind w:left="1944" w:hanging="648"/>
      </w:pPr>
    </w:lvl>
    <w:lvl w:ilvl="4">
      <w:start w:val="1"/>
      <w:numFmt w:val="decimal"/>
      <w:lvlText w:val=".%3.%4.%5."/>
      <w:legacy w:legacy="1" w:legacySpace="120" w:legacyIndent="792"/>
      <w:lvlJc w:val="left"/>
      <w:pPr>
        <w:ind w:left="2736" w:hanging="792"/>
      </w:pPr>
    </w:lvl>
    <w:lvl w:ilvl="5">
      <w:start w:val="1"/>
      <w:numFmt w:val="decimal"/>
      <w:lvlText w:val=".%3.%4.%5.%6."/>
      <w:legacy w:legacy="1" w:legacySpace="120" w:legacyIndent="936"/>
      <w:lvlJc w:val="left"/>
      <w:pPr>
        <w:ind w:left="3672" w:hanging="936"/>
      </w:pPr>
    </w:lvl>
    <w:lvl w:ilvl="6">
      <w:start w:val="1"/>
      <w:numFmt w:val="decimal"/>
      <w:lvlText w:val=".%3.%4.%5.%6.%7."/>
      <w:legacy w:legacy="1" w:legacySpace="120" w:legacyIndent="1080"/>
      <w:lvlJc w:val="left"/>
      <w:pPr>
        <w:ind w:left="4752" w:hanging="1080"/>
      </w:pPr>
    </w:lvl>
    <w:lvl w:ilvl="7">
      <w:start w:val="1"/>
      <w:numFmt w:val="decimal"/>
      <w:lvlText w:val=".%3.%4.%5.%6.%7.%8."/>
      <w:legacy w:legacy="1" w:legacySpace="120" w:legacyIndent="1224"/>
      <w:lvlJc w:val="left"/>
      <w:pPr>
        <w:ind w:left="5976" w:hanging="1224"/>
      </w:pPr>
    </w:lvl>
    <w:lvl w:ilvl="8">
      <w:start w:val="1"/>
      <w:numFmt w:val="decimal"/>
      <w:lvlText w:val=".%3.%4.%5.%6.%7.%8.%9."/>
      <w:legacy w:legacy="1" w:legacySpace="120" w:legacyIndent="1440"/>
      <w:lvlJc w:val="left"/>
      <w:pPr>
        <w:ind w:left="7416" w:hanging="1440"/>
      </w:pPr>
    </w:lvl>
  </w:abstractNum>
  <w:abstractNum w:abstractNumId="16">
    <w:nsid w:val="78F945FB"/>
    <w:multiLevelType w:val="hybridMultilevel"/>
    <w:tmpl w:val="962A4C52"/>
    <w:lvl w:ilvl="0" w:tplc="2D50A69E">
      <w:start w:val="1"/>
      <w:numFmt w:val="bullet"/>
      <w:lvlText w:val=""/>
      <w:lvlJc w:val="left"/>
      <w:pPr>
        <w:tabs>
          <w:tab w:val="num" w:pos="720"/>
        </w:tabs>
        <w:ind w:left="720" w:hanging="360"/>
      </w:pPr>
      <w:rPr>
        <w:rFonts w:ascii="Wingdings" w:eastAsia="Times New Roman" w:hAnsi="Wingdings"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E926B0F"/>
    <w:multiLevelType w:val="hybridMultilevel"/>
    <w:tmpl w:val="9F343D1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2"/>
  </w:num>
  <w:num w:numId="3">
    <w:abstractNumId w:val="2"/>
  </w:num>
  <w:num w:numId="4">
    <w:abstractNumId w:val="13"/>
  </w:num>
  <w:num w:numId="5">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7">
    <w:abstractNumId w:val="10"/>
  </w:num>
  <w:num w:numId="8">
    <w:abstractNumId w:val="5"/>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14"/>
  </w:num>
  <w:num w:numId="11">
    <w:abstractNumId w:val="9"/>
  </w:num>
  <w:num w:numId="12">
    <w:abstractNumId w:val="1"/>
  </w:num>
  <w:num w:numId="13">
    <w:abstractNumId w:val="4"/>
  </w:num>
  <w:num w:numId="14">
    <w:abstractNumId w:val="8"/>
  </w:num>
  <w:num w:numId="15">
    <w:abstractNumId w:val="7"/>
  </w:num>
  <w:num w:numId="16">
    <w:abstractNumId w:val="11"/>
  </w:num>
  <w:num w:numId="17">
    <w:abstractNumId w:val="17"/>
  </w:num>
  <w:num w:numId="18">
    <w:abstractNumId w:val="6"/>
  </w:num>
  <w:num w:numId="19">
    <w:abstractNumId w:val="16"/>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8C1"/>
    <w:rsid w:val="00016E6B"/>
    <w:rsid w:val="00040BB2"/>
    <w:rsid w:val="00043688"/>
    <w:rsid w:val="0005308B"/>
    <w:rsid w:val="00060793"/>
    <w:rsid w:val="000C0612"/>
    <w:rsid w:val="000D271C"/>
    <w:rsid w:val="000F61FD"/>
    <w:rsid w:val="00130BEC"/>
    <w:rsid w:val="001948C1"/>
    <w:rsid w:val="001D5021"/>
    <w:rsid w:val="002034F3"/>
    <w:rsid w:val="00226659"/>
    <w:rsid w:val="0025030C"/>
    <w:rsid w:val="00255DFA"/>
    <w:rsid w:val="0027244A"/>
    <w:rsid w:val="00281652"/>
    <w:rsid w:val="002E5887"/>
    <w:rsid w:val="00306059"/>
    <w:rsid w:val="00324444"/>
    <w:rsid w:val="003275FF"/>
    <w:rsid w:val="00380DB5"/>
    <w:rsid w:val="003A67EC"/>
    <w:rsid w:val="003B7455"/>
    <w:rsid w:val="003D37EB"/>
    <w:rsid w:val="00400070"/>
    <w:rsid w:val="00425971"/>
    <w:rsid w:val="004474D8"/>
    <w:rsid w:val="00461528"/>
    <w:rsid w:val="004B5435"/>
    <w:rsid w:val="004C2227"/>
    <w:rsid w:val="004D39B5"/>
    <w:rsid w:val="004D5CDE"/>
    <w:rsid w:val="004F3C60"/>
    <w:rsid w:val="005009AE"/>
    <w:rsid w:val="00567784"/>
    <w:rsid w:val="00570298"/>
    <w:rsid w:val="00571D1A"/>
    <w:rsid w:val="005B04B4"/>
    <w:rsid w:val="005C50F0"/>
    <w:rsid w:val="005E6528"/>
    <w:rsid w:val="0060711E"/>
    <w:rsid w:val="00607B42"/>
    <w:rsid w:val="00617111"/>
    <w:rsid w:val="006662CC"/>
    <w:rsid w:val="00675E9D"/>
    <w:rsid w:val="0068340C"/>
    <w:rsid w:val="006B1138"/>
    <w:rsid w:val="006B4D8D"/>
    <w:rsid w:val="006F52C6"/>
    <w:rsid w:val="00720E1E"/>
    <w:rsid w:val="0077073F"/>
    <w:rsid w:val="007F7325"/>
    <w:rsid w:val="007F74BB"/>
    <w:rsid w:val="008074C1"/>
    <w:rsid w:val="00813077"/>
    <w:rsid w:val="00895DC7"/>
    <w:rsid w:val="00932790"/>
    <w:rsid w:val="00971F9D"/>
    <w:rsid w:val="009917FE"/>
    <w:rsid w:val="009C338F"/>
    <w:rsid w:val="009D3589"/>
    <w:rsid w:val="009D4663"/>
    <w:rsid w:val="00A054C2"/>
    <w:rsid w:val="00A40CCB"/>
    <w:rsid w:val="00A437B4"/>
    <w:rsid w:val="00AB216A"/>
    <w:rsid w:val="00B230E4"/>
    <w:rsid w:val="00B404F1"/>
    <w:rsid w:val="00B53023"/>
    <w:rsid w:val="00B86E17"/>
    <w:rsid w:val="00BA7F07"/>
    <w:rsid w:val="00C15480"/>
    <w:rsid w:val="00C20BA8"/>
    <w:rsid w:val="00C30DB7"/>
    <w:rsid w:val="00C33AEB"/>
    <w:rsid w:val="00C5347B"/>
    <w:rsid w:val="00C55874"/>
    <w:rsid w:val="00C944DC"/>
    <w:rsid w:val="00CD0E53"/>
    <w:rsid w:val="00D00AF0"/>
    <w:rsid w:val="00D07359"/>
    <w:rsid w:val="00D762F3"/>
    <w:rsid w:val="00DA50C3"/>
    <w:rsid w:val="00DD7919"/>
    <w:rsid w:val="00DF28C3"/>
    <w:rsid w:val="00DF7A18"/>
    <w:rsid w:val="00E57C0E"/>
    <w:rsid w:val="00E73B76"/>
    <w:rsid w:val="00EF39DD"/>
    <w:rsid w:val="00EF5A7E"/>
    <w:rsid w:val="00EF7613"/>
    <w:rsid w:val="00F00491"/>
    <w:rsid w:val="00F312AF"/>
    <w:rsid w:val="00F92723"/>
    <w:rsid w:val="00FD37DB"/>
    <w:rsid w:val="00FE59ED"/>
    <w:rsid w:val="00FF2568"/>
    <w:rsid w:val="00FF32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8C1"/>
    <w:pPr>
      <w:spacing w:after="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qFormat/>
    <w:rsid w:val="001948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948C1"/>
    <w:pPr>
      <w:keepNext/>
      <w:tabs>
        <w:tab w:val="left" w:pos="-108"/>
        <w:tab w:val="left" w:pos="72"/>
      </w:tabs>
      <w:overflowPunct w:val="0"/>
      <w:autoSpaceDE w:val="0"/>
      <w:autoSpaceDN w:val="0"/>
      <w:adjustRightInd w:val="0"/>
      <w:spacing w:before="240" w:after="120"/>
      <w:ind w:left="144" w:hanging="144"/>
      <w:textAlignment w:val="baseline"/>
      <w:outlineLvl w:val="1"/>
    </w:pPr>
    <w:rPr>
      <w:rFonts w:ascii="Times New Roman" w:hAnsi="Times New Roman"/>
      <w:i/>
      <w:szCs w:val="20"/>
    </w:rPr>
  </w:style>
  <w:style w:type="paragraph" w:styleId="Heading3">
    <w:name w:val="heading 3"/>
    <w:basedOn w:val="Normal"/>
    <w:next w:val="Normal"/>
    <w:link w:val="Heading3Char"/>
    <w:qFormat/>
    <w:rsid w:val="001948C1"/>
    <w:pPr>
      <w:keepNext/>
      <w:spacing w:before="240" w:after="60"/>
      <w:outlineLvl w:val="2"/>
    </w:pPr>
    <w:rPr>
      <w:rFonts w:eastAsia="SimSun" w:cs="Arial"/>
      <w:b/>
      <w:bCs/>
      <w:sz w:val="26"/>
      <w:szCs w:val="26"/>
      <w:lang w:val="en-CA" w:eastAsia="zh-CN"/>
    </w:rPr>
  </w:style>
  <w:style w:type="paragraph" w:styleId="Heading4">
    <w:name w:val="heading 4"/>
    <w:basedOn w:val="Normal"/>
    <w:next w:val="Normal"/>
    <w:link w:val="Heading4Char"/>
    <w:unhideWhenUsed/>
    <w:qFormat/>
    <w:rsid w:val="001948C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1948C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948C1"/>
    <w:pPr>
      <w:keepNext/>
      <w:overflowPunct w:val="0"/>
      <w:autoSpaceDE w:val="0"/>
      <w:autoSpaceDN w:val="0"/>
      <w:adjustRightInd w:val="0"/>
      <w:textAlignment w:val="baseline"/>
      <w:outlineLvl w:val="5"/>
    </w:pPr>
    <w:rPr>
      <w:rFonts w:ascii="Book Antiqua" w:hAnsi="Book Antiqu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48C1"/>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rsid w:val="001948C1"/>
    <w:rPr>
      <w:rFonts w:ascii="Times New Roman" w:eastAsia="Times New Roman" w:hAnsi="Times New Roman" w:cs="Times New Roman"/>
      <w:i/>
      <w:sz w:val="24"/>
      <w:szCs w:val="20"/>
      <w:lang w:val="en-US"/>
    </w:rPr>
  </w:style>
  <w:style w:type="character" w:customStyle="1" w:styleId="Heading3Char">
    <w:name w:val="Heading 3 Char"/>
    <w:basedOn w:val="DefaultParagraphFont"/>
    <w:link w:val="Heading3"/>
    <w:rsid w:val="001948C1"/>
    <w:rPr>
      <w:rFonts w:ascii="Arial" w:eastAsia="SimSun" w:hAnsi="Arial" w:cs="Arial"/>
      <w:b/>
      <w:bCs/>
      <w:sz w:val="26"/>
      <w:szCs w:val="26"/>
      <w:lang w:eastAsia="zh-CN"/>
    </w:rPr>
  </w:style>
  <w:style w:type="character" w:customStyle="1" w:styleId="Heading4Char">
    <w:name w:val="Heading 4 Char"/>
    <w:basedOn w:val="DefaultParagraphFont"/>
    <w:link w:val="Heading4"/>
    <w:rsid w:val="001948C1"/>
    <w:rPr>
      <w:rFonts w:asciiTheme="majorHAnsi" w:eastAsiaTheme="majorEastAsia" w:hAnsiTheme="majorHAnsi" w:cstheme="majorBidi"/>
      <w:b/>
      <w:bCs/>
      <w:i/>
      <w:iCs/>
      <w:color w:val="4F81BD" w:themeColor="accent1"/>
      <w:sz w:val="24"/>
      <w:szCs w:val="24"/>
      <w:lang w:val="en-US"/>
    </w:rPr>
  </w:style>
  <w:style w:type="character" w:customStyle="1" w:styleId="Heading5Char">
    <w:name w:val="Heading 5 Char"/>
    <w:basedOn w:val="DefaultParagraphFont"/>
    <w:link w:val="Heading5"/>
    <w:rsid w:val="001948C1"/>
    <w:rPr>
      <w:rFonts w:asciiTheme="majorHAnsi" w:eastAsiaTheme="majorEastAsia" w:hAnsiTheme="majorHAnsi" w:cstheme="majorBidi"/>
      <w:color w:val="243F60" w:themeColor="accent1" w:themeShade="7F"/>
      <w:sz w:val="24"/>
      <w:szCs w:val="24"/>
      <w:lang w:val="en-US"/>
    </w:rPr>
  </w:style>
  <w:style w:type="character" w:customStyle="1" w:styleId="Heading6Char">
    <w:name w:val="Heading 6 Char"/>
    <w:basedOn w:val="DefaultParagraphFont"/>
    <w:link w:val="Heading6"/>
    <w:rsid w:val="001948C1"/>
    <w:rPr>
      <w:rFonts w:ascii="Book Antiqua" w:eastAsia="Times New Roman" w:hAnsi="Book Antiqua" w:cs="Times New Roman"/>
      <w:b/>
      <w:sz w:val="20"/>
      <w:szCs w:val="20"/>
      <w:lang w:val="en-US"/>
    </w:rPr>
  </w:style>
  <w:style w:type="character" w:styleId="Hyperlink">
    <w:name w:val="Hyperlink"/>
    <w:basedOn w:val="DefaultParagraphFont"/>
    <w:rsid w:val="001948C1"/>
    <w:rPr>
      <w:color w:val="0000FF"/>
      <w:u w:val="single"/>
    </w:rPr>
  </w:style>
  <w:style w:type="paragraph" w:styleId="FootnoteText">
    <w:name w:val="footnote text"/>
    <w:basedOn w:val="Normal"/>
    <w:link w:val="FootnoteTextChar"/>
    <w:unhideWhenUsed/>
    <w:rsid w:val="001948C1"/>
    <w:rPr>
      <w:sz w:val="20"/>
      <w:szCs w:val="20"/>
    </w:rPr>
  </w:style>
  <w:style w:type="character" w:customStyle="1" w:styleId="FootnoteTextChar">
    <w:name w:val="Footnote Text Char"/>
    <w:basedOn w:val="DefaultParagraphFont"/>
    <w:link w:val="FootnoteText"/>
    <w:rsid w:val="001948C1"/>
    <w:rPr>
      <w:rFonts w:ascii="Arial" w:eastAsia="Times New Roman" w:hAnsi="Arial" w:cs="Times New Roman"/>
      <w:sz w:val="20"/>
      <w:szCs w:val="20"/>
      <w:lang w:val="en-US"/>
    </w:rPr>
  </w:style>
  <w:style w:type="character" w:styleId="FootnoteReference">
    <w:name w:val="footnote reference"/>
    <w:basedOn w:val="DefaultParagraphFont"/>
    <w:semiHidden/>
    <w:unhideWhenUsed/>
    <w:rsid w:val="001948C1"/>
    <w:rPr>
      <w:vertAlign w:val="superscript"/>
    </w:rPr>
  </w:style>
  <w:style w:type="paragraph" w:styleId="Caption">
    <w:name w:val="caption"/>
    <w:basedOn w:val="Normal"/>
    <w:next w:val="Normal"/>
    <w:qFormat/>
    <w:rsid w:val="001948C1"/>
    <w:pPr>
      <w:keepNext/>
      <w:widowControl w:val="0"/>
      <w:overflowPunct w:val="0"/>
      <w:autoSpaceDE w:val="0"/>
      <w:autoSpaceDN w:val="0"/>
      <w:adjustRightInd w:val="0"/>
      <w:spacing w:after="120"/>
      <w:jc w:val="both"/>
      <w:textAlignment w:val="baseline"/>
    </w:pPr>
    <w:rPr>
      <w:rFonts w:ascii="Book Antiqua" w:hAnsi="Book Antiqua"/>
      <w:b/>
      <w:sz w:val="20"/>
      <w:szCs w:val="20"/>
      <w:lang w:val="en-GB"/>
    </w:rPr>
  </w:style>
  <w:style w:type="paragraph" w:styleId="BalloonText">
    <w:name w:val="Balloon Text"/>
    <w:basedOn w:val="Normal"/>
    <w:link w:val="BalloonTextChar"/>
    <w:semiHidden/>
    <w:unhideWhenUsed/>
    <w:rsid w:val="001948C1"/>
    <w:rPr>
      <w:rFonts w:ascii="Tahoma" w:hAnsi="Tahoma" w:cs="Tahoma"/>
      <w:sz w:val="16"/>
      <w:szCs w:val="16"/>
    </w:rPr>
  </w:style>
  <w:style w:type="character" w:customStyle="1" w:styleId="BalloonTextChar">
    <w:name w:val="Balloon Text Char"/>
    <w:basedOn w:val="DefaultParagraphFont"/>
    <w:link w:val="BalloonText"/>
    <w:semiHidden/>
    <w:rsid w:val="001948C1"/>
    <w:rPr>
      <w:rFonts w:ascii="Tahoma" w:eastAsia="Times New Roman" w:hAnsi="Tahoma" w:cs="Tahoma"/>
      <w:sz w:val="16"/>
      <w:szCs w:val="16"/>
      <w:lang w:val="en-US"/>
    </w:rPr>
  </w:style>
  <w:style w:type="character" w:styleId="PageNumber">
    <w:name w:val="page number"/>
    <w:basedOn w:val="DefaultParagraphFont"/>
    <w:rsid w:val="001948C1"/>
  </w:style>
  <w:style w:type="paragraph" w:styleId="BodyText2">
    <w:name w:val="Body Text 2"/>
    <w:basedOn w:val="Normal"/>
    <w:link w:val="BodyText2Char"/>
    <w:rsid w:val="001948C1"/>
    <w:pPr>
      <w:overflowPunct w:val="0"/>
      <w:autoSpaceDE w:val="0"/>
      <w:autoSpaceDN w:val="0"/>
      <w:adjustRightInd w:val="0"/>
      <w:jc w:val="both"/>
      <w:textAlignment w:val="baseline"/>
    </w:pPr>
    <w:rPr>
      <w:b/>
      <w:i/>
      <w:sz w:val="22"/>
      <w:szCs w:val="20"/>
    </w:rPr>
  </w:style>
  <w:style w:type="character" w:customStyle="1" w:styleId="BodyText2Char">
    <w:name w:val="Body Text 2 Char"/>
    <w:basedOn w:val="DefaultParagraphFont"/>
    <w:link w:val="BodyText2"/>
    <w:rsid w:val="001948C1"/>
    <w:rPr>
      <w:rFonts w:ascii="Arial" w:eastAsia="Times New Roman" w:hAnsi="Arial" w:cs="Times New Roman"/>
      <w:b/>
      <w:i/>
      <w:szCs w:val="20"/>
      <w:lang w:val="en-US"/>
    </w:rPr>
  </w:style>
  <w:style w:type="paragraph" w:styleId="Footer">
    <w:name w:val="footer"/>
    <w:basedOn w:val="Normal"/>
    <w:link w:val="FooterChar"/>
    <w:rsid w:val="001948C1"/>
    <w:pPr>
      <w:tabs>
        <w:tab w:val="center" w:pos="4153"/>
        <w:tab w:val="right" w:pos="8306"/>
      </w:tabs>
      <w:overflowPunct w:val="0"/>
      <w:autoSpaceDE w:val="0"/>
      <w:autoSpaceDN w:val="0"/>
      <w:adjustRightInd w:val="0"/>
      <w:textAlignment w:val="baseline"/>
    </w:pPr>
    <w:rPr>
      <w:rFonts w:ascii="Times New Roman" w:hAnsi="Times New Roman"/>
      <w:szCs w:val="20"/>
    </w:rPr>
  </w:style>
  <w:style w:type="character" w:customStyle="1" w:styleId="FooterChar">
    <w:name w:val="Footer Char"/>
    <w:basedOn w:val="DefaultParagraphFont"/>
    <w:link w:val="Footer"/>
    <w:rsid w:val="001948C1"/>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1948C1"/>
    <w:pPr>
      <w:overflowPunct w:val="0"/>
      <w:autoSpaceDE w:val="0"/>
      <w:autoSpaceDN w:val="0"/>
      <w:adjustRightInd w:val="0"/>
      <w:ind w:firstLine="360"/>
      <w:jc w:val="both"/>
      <w:textAlignment w:val="baseline"/>
    </w:pPr>
    <w:rPr>
      <w:rFonts w:ascii="Book Antiqua" w:hAnsi="Book Antiqua"/>
      <w:szCs w:val="20"/>
    </w:rPr>
  </w:style>
  <w:style w:type="character" w:customStyle="1" w:styleId="BodyTextIndent2Char">
    <w:name w:val="Body Text Indent 2 Char"/>
    <w:basedOn w:val="DefaultParagraphFont"/>
    <w:link w:val="BodyTextIndent2"/>
    <w:rsid w:val="001948C1"/>
    <w:rPr>
      <w:rFonts w:ascii="Book Antiqua" w:eastAsia="Times New Roman" w:hAnsi="Book Antiqua" w:cs="Times New Roman"/>
      <w:sz w:val="24"/>
      <w:szCs w:val="20"/>
      <w:lang w:val="en-US"/>
    </w:rPr>
  </w:style>
  <w:style w:type="paragraph" w:styleId="NormalIndent">
    <w:name w:val="Normal Indent"/>
    <w:basedOn w:val="Normal"/>
    <w:rsid w:val="001948C1"/>
    <w:pPr>
      <w:overflowPunct w:val="0"/>
      <w:autoSpaceDE w:val="0"/>
      <w:autoSpaceDN w:val="0"/>
      <w:adjustRightInd w:val="0"/>
      <w:ind w:left="720"/>
      <w:textAlignment w:val="baseline"/>
    </w:pPr>
    <w:rPr>
      <w:rFonts w:ascii="Book Antiqua" w:hAnsi="Book Antiqua"/>
      <w:sz w:val="20"/>
      <w:szCs w:val="20"/>
    </w:rPr>
  </w:style>
  <w:style w:type="paragraph" w:styleId="BodyTextIndent3">
    <w:name w:val="Body Text Indent 3"/>
    <w:basedOn w:val="Normal"/>
    <w:link w:val="BodyTextIndent3Char"/>
    <w:rsid w:val="001948C1"/>
    <w:pPr>
      <w:overflowPunct w:val="0"/>
      <w:autoSpaceDE w:val="0"/>
      <w:autoSpaceDN w:val="0"/>
      <w:adjustRightInd w:val="0"/>
      <w:ind w:firstLine="720"/>
      <w:jc w:val="both"/>
      <w:textAlignment w:val="baseline"/>
    </w:pPr>
    <w:rPr>
      <w:rFonts w:ascii="Book Antiqua" w:hAnsi="Book Antiqua"/>
      <w:szCs w:val="20"/>
    </w:rPr>
  </w:style>
  <w:style w:type="character" w:customStyle="1" w:styleId="BodyTextIndent3Char">
    <w:name w:val="Body Text Indent 3 Char"/>
    <w:basedOn w:val="DefaultParagraphFont"/>
    <w:link w:val="BodyTextIndent3"/>
    <w:rsid w:val="001948C1"/>
    <w:rPr>
      <w:rFonts w:ascii="Book Antiqua" w:eastAsia="Times New Roman" w:hAnsi="Book Antiqua" w:cs="Times New Roman"/>
      <w:sz w:val="24"/>
      <w:szCs w:val="20"/>
      <w:lang w:val="en-US"/>
    </w:rPr>
  </w:style>
  <w:style w:type="paragraph" w:styleId="BodyTextIndent">
    <w:name w:val="Body Text Indent"/>
    <w:basedOn w:val="Normal"/>
    <w:link w:val="BodyTextIndentChar"/>
    <w:rsid w:val="001948C1"/>
    <w:pPr>
      <w:overflowPunct w:val="0"/>
      <w:autoSpaceDE w:val="0"/>
      <w:autoSpaceDN w:val="0"/>
      <w:adjustRightInd w:val="0"/>
      <w:spacing w:after="120"/>
      <w:ind w:left="720" w:hanging="720"/>
      <w:textAlignment w:val="baseline"/>
    </w:pPr>
    <w:rPr>
      <w:rFonts w:ascii="Book Antiqua" w:hAnsi="Book Antiqua"/>
      <w:szCs w:val="20"/>
      <w:lang w:val="en-GB"/>
    </w:rPr>
  </w:style>
  <w:style w:type="character" w:customStyle="1" w:styleId="BodyTextIndentChar">
    <w:name w:val="Body Text Indent Char"/>
    <w:basedOn w:val="DefaultParagraphFont"/>
    <w:link w:val="BodyTextIndent"/>
    <w:rsid w:val="001948C1"/>
    <w:rPr>
      <w:rFonts w:ascii="Book Antiqua" w:eastAsia="Times New Roman" w:hAnsi="Book Antiqua" w:cs="Times New Roman"/>
      <w:sz w:val="24"/>
      <w:szCs w:val="20"/>
      <w:lang w:val="en-GB"/>
    </w:rPr>
  </w:style>
  <w:style w:type="paragraph" w:styleId="NormalWeb">
    <w:name w:val="Normal (Web)"/>
    <w:basedOn w:val="Normal"/>
    <w:rsid w:val="001948C1"/>
    <w:pPr>
      <w:spacing w:before="100" w:beforeAutospacing="1" w:after="100" w:afterAutospacing="1"/>
      <w:ind w:right="160" w:firstLine="300"/>
    </w:pPr>
    <w:rPr>
      <w:rFonts w:eastAsia="SimSun" w:cs="Arial"/>
      <w:sz w:val="20"/>
      <w:szCs w:val="20"/>
      <w:lang w:eastAsia="zh-CN"/>
    </w:rPr>
  </w:style>
  <w:style w:type="paragraph" w:styleId="EndnoteText">
    <w:name w:val="endnote text"/>
    <w:basedOn w:val="Normal"/>
    <w:link w:val="EndnoteTextChar"/>
    <w:semiHidden/>
    <w:rsid w:val="001948C1"/>
    <w:pPr>
      <w:overflowPunct w:val="0"/>
      <w:autoSpaceDE w:val="0"/>
      <w:autoSpaceDN w:val="0"/>
      <w:adjustRightInd w:val="0"/>
      <w:textAlignment w:val="baseline"/>
    </w:pPr>
    <w:rPr>
      <w:rFonts w:ascii="Times New Roman" w:hAnsi="Times New Roman"/>
      <w:sz w:val="20"/>
      <w:szCs w:val="20"/>
      <w:lang w:eastAsia="zh-CN"/>
    </w:rPr>
  </w:style>
  <w:style w:type="character" w:customStyle="1" w:styleId="EndnoteTextChar">
    <w:name w:val="Endnote Text Char"/>
    <w:basedOn w:val="DefaultParagraphFont"/>
    <w:link w:val="EndnoteText"/>
    <w:semiHidden/>
    <w:rsid w:val="001948C1"/>
    <w:rPr>
      <w:rFonts w:ascii="Times New Roman" w:eastAsia="Times New Roman" w:hAnsi="Times New Roman" w:cs="Times New Roman"/>
      <w:sz w:val="20"/>
      <w:szCs w:val="20"/>
      <w:lang w:val="en-US" w:eastAsia="zh-CN"/>
    </w:rPr>
  </w:style>
  <w:style w:type="paragraph" w:customStyle="1" w:styleId="indentlevel1">
    <w:name w:val="indentlevel1"/>
    <w:basedOn w:val="Normal"/>
    <w:rsid w:val="001948C1"/>
    <w:pPr>
      <w:spacing w:before="100" w:beforeAutospacing="1" w:after="100" w:afterAutospacing="1"/>
      <w:ind w:left="480"/>
    </w:pPr>
    <w:rPr>
      <w:rFonts w:ascii="Times New Roman" w:eastAsia="SimSun" w:hAnsi="Times New Roman"/>
      <w:lang w:eastAsia="zh-CN"/>
    </w:rPr>
  </w:style>
  <w:style w:type="paragraph" w:customStyle="1" w:styleId="indentlevel2">
    <w:name w:val="indentlevel2"/>
    <w:basedOn w:val="Normal"/>
    <w:rsid w:val="001948C1"/>
    <w:pPr>
      <w:spacing w:before="100" w:beforeAutospacing="1" w:after="100" w:afterAutospacing="1"/>
      <w:ind w:left="960"/>
    </w:pPr>
    <w:rPr>
      <w:rFonts w:ascii="Times New Roman" w:eastAsia="SimSun" w:hAnsi="Times New Roman"/>
      <w:lang w:eastAsia="zh-CN"/>
    </w:rPr>
  </w:style>
  <w:style w:type="paragraph" w:customStyle="1" w:styleId="indentlevel3">
    <w:name w:val="indentlevel3"/>
    <w:basedOn w:val="Normal"/>
    <w:rsid w:val="001948C1"/>
    <w:pPr>
      <w:spacing w:before="100" w:beforeAutospacing="1" w:after="100" w:afterAutospacing="1"/>
      <w:ind w:left="1440"/>
    </w:pPr>
    <w:rPr>
      <w:rFonts w:ascii="Times New Roman" w:eastAsia="SimSun" w:hAnsi="Times New Roman"/>
      <w:lang w:eastAsia="zh-CN"/>
    </w:rPr>
  </w:style>
  <w:style w:type="character" w:styleId="EndnoteReference">
    <w:name w:val="endnote reference"/>
    <w:basedOn w:val="DefaultParagraphFont"/>
    <w:semiHidden/>
    <w:rsid w:val="001948C1"/>
    <w:rPr>
      <w:vertAlign w:val="superscript"/>
    </w:rPr>
  </w:style>
  <w:style w:type="paragraph" w:styleId="Header">
    <w:name w:val="header"/>
    <w:basedOn w:val="Normal"/>
    <w:link w:val="HeaderChar"/>
    <w:rsid w:val="001948C1"/>
    <w:pPr>
      <w:tabs>
        <w:tab w:val="center" w:pos="4320"/>
        <w:tab w:val="right" w:pos="8640"/>
      </w:tabs>
      <w:overflowPunct w:val="0"/>
      <w:autoSpaceDE w:val="0"/>
      <w:autoSpaceDN w:val="0"/>
      <w:adjustRightInd w:val="0"/>
      <w:textAlignment w:val="baseline"/>
    </w:pPr>
    <w:rPr>
      <w:szCs w:val="20"/>
    </w:rPr>
  </w:style>
  <w:style w:type="character" w:customStyle="1" w:styleId="HeaderChar">
    <w:name w:val="Header Char"/>
    <w:basedOn w:val="DefaultParagraphFont"/>
    <w:link w:val="Header"/>
    <w:rsid w:val="001948C1"/>
    <w:rPr>
      <w:rFonts w:ascii="Arial" w:eastAsia="Times New Roman" w:hAnsi="Arial" w:cs="Times New Roman"/>
      <w:sz w:val="24"/>
      <w:szCs w:val="20"/>
      <w:lang w:val="en-US"/>
    </w:rPr>
  </w:style>
  <w:style w:type="paragraph" w:styleId="PlainText">
    <w:name w:val="Plain Text"/>
    <w:basedOn w:val="Normal"/>
    <w:link w:val="PlainTextChar"/>
    <w:rsid w:val="001948C1"/>
    <w:rPr>
      <w:rFonts w:ascii="Courier New" w:hAnsi="Courier New" w:cs="Courier New"/>
      <w:sz w:val="20"/>
      <w:szCs w:val="20"/>
    </w:rPr>
  </w:style>
  <w:style w:type="character" w:customStyle="1" w:styleId="PlainTextChar">
    <w:name w:val="Plain Text Char"/>
    <w:basedOn w:val="DefaultParagraphFont"/>
    <w:link w:val="PlainText"/>
    <w:rsid w:val="001948C1"/>
    <w:rPr>
      <w:rFonts w:ascii="Courier New" w:eastAsia="Times New Roman" w:hAnsi="Courier New" w:cs="Courier New"/>
      <w:sz w:val="20"/>
      <w:szCs w:val="20"/>
      <w:lang w:val="en-US"/>
    </w:rPr>
  </w:style>
  <w:style w:type="paragraph" w:styleId="E-mailSignature">
    <w:name w:val="E-mail Signature"/>
    <w:basedOn w:val="Normal"/>
    <w:link w:val="E-mailSignatureChar"/>
    <w:rsid w:val="001948C1"/>
    <w:pPr>
      <w:spacing w:before="100" w:beforeAutospacing="1" w:after="100" w:afterAutospacing="1"/>
    </w:pPr>
    <w:rPr>
      <w:rFonts w:ascii="Times New Roman" w:hAnsi="Times New Roman"/>
    </w:rPr>
  </w:style>
  <w:style w:type="character" w:customStyle="1" w:styleId="E-mailSignatureChar">
    <w:name w:val="E-mail Signature Char"/>
    <w:basedOn w:val="DefaultParagraphFont"/>
    <w:link w:val="E-mailSignature"/>
    <w:rsid w:val="001948C1"/>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8C1"/>
    <w:pPr>
      <w:spacing w:after="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qFormat/>
    <w:rsid w:val="001948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948C1"/>
    <w:pPr>
      <w:keepNext/>
      <w:tabs>
        <w:tab w:val="left" w:pos="-108"/>
        <w:tab w:val="left" w:pos="72"/>
      </w:tabs>
      <w:overflowPunct w:val="0"/>
      <w:autoSpaceDE w:val="0"/>
      <w:autoSpaceDN w:val="0"/>
      <w:adjustRightInd w:val="0"/>
      <w:spacing w:before="240" w:after="120"/>
      <w:ind w:left="144" w:hanging="144"/>
      <w:textAlignment w:val="baseline"/>
      <w:outlineLvl w:val="1"/>
    </w:pPr>
    <w:rPr>
      <w:rFonts w:ascii="Times New Roman" w:hAnsi="Times New Roman"/>
      <w:i/>
      <w:szCs w:val="20"/>
    </w:rPr>
  </w:style>
  <w:style w:type="paragraph" w:styleId="Heading3">
    <w:name w:val="heading 3"/>
    <w:basedOn w:val="Normal"/>
    <w:next w:val="Normal"/>
    <w:link w:val="Heading3Char"/>
    <w:qFormat/>
    <w:rsid w:val="001948C1"/>
    <w:pPr>
      <w:keepNext/>
      <w:spacing w:before="240" w:after="60"/>
      <w:outlineLvl w:val="2"/>
    </w:pPr>
    <w:rPr>
      <w:rFonts w:eastAsia="SimSun" w:cs="Arial"/>
      <w:b/>
      <w:bCs/>
      <w:sz w:val="26"/>
      <w:szCs w:val="26"/>
      <w:lang w:val="en-CA" w:eastAsia="zh-CN"/>
    </w:rPr>
  </w:style>
  <w:style w:type="paragraph" w:styleId="Heading4">
    <w:name w:val="heading 4"/>
    <w:basedOn w:val="Normal"/>
    <w:next w:val="Normal"/>
    <w:link w:val="Heading4Char"/>
    <w:unhideWhenUsed/>
    <w:qFormat/>
    <w:rsid w:val="001948C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1948C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948C1"/>
    <w:pPr>
      <w:keepNext/>
      <w:overflowPunct w:val="0"/>
      <w:autoSpaceDE w:val="0"/>
      <w:autoSpaceDN w:val="0"/>
      <w:adjustRightInd w:val="0"/>
      <w:textAlignment w:val="baseline"/>
      <w:outlineLvl w:val="5"/>
    </w:pPr>
    <w:rPr>
      <w:rFonts w:ascii="Book Antiqua" w:hAnsi="Book Antiqu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48C1"/>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rsid w:val="001948C1"/>
    <w:rPr>
      <w:rFonts w:ascii="Times New Roman" w:eastAsia="Times New Roman" w:hAnsi="Times New Roman" w:cs="Times New Roman"/>
      <w:i/>
      <w:sz w:val="24"/>
      <w:szCs w:val="20"/>
      <w:lang w:val="en-US"/>
    </w:rPr>
  </w:style>
  <w:style w:type="character" w:customStyle="1" w:styleId="Heading3Char">
    <w:name w:val="Heading 3 Char"/>
    <w:basedOn w:val="DefaultParagraphFont"/>
    <w:link w:val="Heading3"/>
    <w:rsid w:val="001948C1"/>
    <w:rPr>
      <w:rFonts w:ascii="Arial" w:eastAsia="SimSun" w:hAnsi="Arial" w:cs="Arial"/>
      <w:b/>
      <w:bCs/>
      <w:sz w:val="26"/>
      <w:szCs w:val="26"/>
      <w:lang w:eastAsia="zh-CN"/>
    </w:rPr>
  </w:style>
  <w:style w:type="character" w:customStyle="1" w:styleId="Heading4Char">
    <w:name w:val="Heading 4 Char"/>
    <w:basedOn w:val="DefaultParagraphFont"/>
    <w:link w:val="Heading4"/>
    <w:rsid w:val="001948C1"/>
    <w:rPr>
      <w:rFonts w:asciiTheme="majorHAnsi" w:eastAsiaTheme="majorEastAsia" w:hAnsiTheme="majorHAnsi" w:cstheme="majorBidi"/>
      <w:b/>
      <w:bCs/>
      <w:i/>
      <w:iCs/>
      <w:color w:val="4F81BD" w:themeColor="accent1"/>
      <w:sz w:val="24"/>
      <w:szCs w:val="24"/>
      <w:lang w:val="en-US"/>
    </w:rPr>
  </w:style>
  <w:style w:type="character" w:customStyle="1" w:styleId="Heading5Char">
    <w:name w:val="Heading 5 Char"/>
    <w:basedOn w:val="DefaultParagraphFont"/>
    <w:link w:val="Heading5"/>
    <w:rsid w:val="001948C1"/>
    <w:rPr>
      <w:rFonts w:asciiTheme="majorHAnsi" w:eastAsiaTheme="majorEastAsia" w:hAnsiTheme="majorHAnsi" w:cstheme="majorBidi"/>
      <w:color w:val="243F60" w:themeColor="accent1" w:themeShade="7F"/>
      <w:sz w:val="24"/>
      <w:szCs w:val="24"/>
      <w:lang w:val="en-US"/>
    </w:rPr>
  </w:style>
  <w:style w:type="character" w:customStyle="1" w:styleId="Heading6Char">
    <w:name w:val="Heading 6 Char"/>
    <w:basedOn w:val="DefaultParagraphFont"/>
    <w:link w:val="Heading6"/>
    <w:rsid w:val="001948C1"/>
    <w:rPr>
      <w:rFonts w:ascii="Book Antiqua" w:eastAsia="Times New Roman" w:hAnsi="Book Antiqua" w:cs="Times New Roman"/>
      <w:b/>
      <w:sz w:val="20"/>
      <w:szCs w:val="20"/>
      <w:lang w:val="en-US"/>
    </w:rPr>
  </w:style>
  <w:style w:type="character" w:styleId="Hyperlink">
    <w:name w:val="Hyperlink"/>
    <w:basedOn w:val="DefaultParagraphFont"/>
    <w:rsid w:val="001948C1"/>
    <w:rPr>
      <w:color w:val="0000FF"/>
      <w:u w:val="single"/>
    </w:rPr>
  </w:style>
  <w:style w:type="paragraph" w:styleId="FootnoteText">
    <w:name w:val="footnote text"/>
    <w:basedOn w:val="Normal"/>
    <w:link w:val="FootnoteTextChar"/>
    <w:unhideWhenUsed/>
    <w:rsid w:val="001948C1"/>
    <w:rPr>
      <w:sz w:val="20"/>
      <w:szCs w:val="20"/>
    </w:rPr>
  </w:style>
  <w:style w:type="character" w:customStyle="1" w:styleId="FootnoteTextChar">
    <w:name w:val="Footnote Text Char"/>
    <w:basedOn w:val="DefaultParagraphFont"/>
    <w:link w:val="FootnoteText"/>
    <w:rsid w:val="001948C1"/>
    <w:rPr>
      <w:rFonts w:ascii="Arial" w:eastAsia="Times New Roman" w:hAnsi="Arial" w:cs="Times New Roman"/>
      <w:sz w:val="20"/>
      <w:szCs w:val="20"/>
      <w:lang w:val="en-US"/>
    </w:rPr>
  </w:style>
  <w:style w:type="character" w:styleId="FootnoteReference">
    <w:name w:val="footnote reference"/>
    <w:basedOn w:val="DefaultParagraphFont"/>
    <w:semiHidden/>
    <w:unhideWhenUsed/>
    <w:rsid w:val="001948C1"/>
    <w:rPr>
      <w:vertAlign w:val="superscript"/>
    </w:rPr>
  </w:style>
  <w:style w:type="paragraph" w:styleId="Caption">
    <w:name w:val="caption"/>
    <w:basedOn w:val="Normal"/>
    <w:next w:val="Normal"/>
    <w:qFormat/>
    <w:rsid w:val="001948C1"/>
    <w:pPr>
      <w:keepNext/>
      <w:widowControl w:val="0"/>
      <w:overflowPunct w:val="0"/>
      <w:autoSpaceDE w:val="0"/>
      <w:autoSpaceDN w:val="0"/>
      <w:adjustRightInd w:val="0"/>
      <w:spacing w:after="120"/>
      <w:jc w:val="both"/>
      <w:textAlignment w:val="baseline"/>
    </w:pPr>
    <w:rPr>
      <w:rFonts w:ascii="Book Antiqua" w:hAnsi="Book Antiqua"/>
      <w:b/>
      <w:sz w:val="20"/>
      <w:szCs w:val="20"/>
      <w:lang w:val="en-GB"/>
    </w:rPr>
  </w:style>
  <w:style w:type="paragraph" w:styleId="BalloonText">
    <w:name w:val="Balloon Text"/>
    <w:basedOn w:val="Normal"/>
    <w:link w:val="BalloonTextChar"/>
    <w:semiHidden/>
    <w:unhideWhenUsed/>
    <w:rsid w:val="001948C1"/>
    <w:rPr>
      <w:rFonts w:ascii="Tahoma" w:hAnsi="Tahoma" w:cs="Tahoma"/>
      <w:sz w:val="16"/>
      <w:szCs w:val="16"/>
    </w:rPr>
  </w:style>
  <w:style w:type="character" w:customStyle="1" w:styleId="BalloonTextChar">
    <w:name w:val="Balloon Text Char"/>
    <w:basedOn w:val="DefaultParagraphFont"/>
    <w:link w:val="BalloonText"/>
    <w:semiHidden/>
    <w:rsid w:val="001948C1"/>
    <w:rPr>
      <w:rFonts w:ascii="Tahoma" w:eastAsia="Times New Roman" w:hAnsi="Tahoma" w:cs="Tahoma"/>
      <w:sz w:val="16"/>
      <w:szCs w:val="16"/>
      <w:lang w:val="en-US"/>
    </w:rPr>
  </w:style>
  <w:style w:type="character" w:styleId="PageNumber">
    <w:name w:val="page number"/>
    <w:basedOn w:val="DefaultParagraphFont"/>
    <w:rsid w:val="001948C1"/>
  </w:style>
  <w:style w:type="paragraph" w:styleId="BodyText2">
    <w:name w:val="Body Text 2"/>
    <w:basedOn w:val="Normal"/>
    <w:link w:val="BodyText2Char"/>
    <w:rsid w:val="001948C1"/>
    <w:pPr>
      <w:overflowPunct w:val="0"/>
      <w:autoSpaceDE w:val="0"/>
      <w:autoSpaceDN w:val="0"/>
      <w:adjustRightInd w:val="0"/>
      <w:jc w:val="both"/>
      <w:textAlignment w:val="baseline"/>
    </w:pPr>
    <w:rPr>
      <w:b/>
      <w:i/>
      <w:sz w:val="22"/>
      <w:szCs w:val="20"/>
    </w:rPr>
  </w:style>
  <w:style w:type="character" w:customStyle="1" w:styleId="BodyText2Char">
    <w:name w:val="Body Text 2 Char"/>
    <w:basedOn w:val="DefaultParagraphFont"/>
    <w:link w:val="BodyText2"/>
    <w:rsid w:val="001948C1"/>
    <w:rPr>
      <w:rFonts w:ascii="Arial" w:eastAsia="Times New Roman" w:hAnsi="Arial" w:cs="Times New Roman"/>
      <w:b/>
      <w:i/>
      <w:szCs w:val="20"/>
      <w:lang w:val="en-US"/>
    </w:rPr>
  </w:style>
  <w:style w:type="paragraph" w:styleId="Footer">
    <w:name w:val="footer"/>
    <w:basedOn w:val="Normal"/>
    <w:link w:val="FooterChar"/>
    <w:rsid w:val="001948C1"/>
    <w:pPr>
      <w:tabs>
        <w:tab w:val="center" w:pos="4153"/>
        <w:tab w:val="right" w:pos="8306"/>
      </w:tabs>
      <w:overflowPunct w:val="0"/>
      <w:autoSpaceDE w:val="0"/>
      <w:autoSpaceDN w:val="0"/>
      <w:adjustRightInd w:val="0"/>
      <w:textAlignment w:val="baseline"/>
    </w:pPr>
    <w:rPr>
      <w:rFonts w:ascii="Times New Roman" w:hAnsi="Times New Roman"/>
      <w:szCs w:val="20"/>
    </w:rPr>
  </w:style>
  <w:style w:type="character" w:customStyle="1" w:styleId="FooterChar">
    <w:name w:val="Footer Char"/>
    <w:basedOn w:val="DefaultParagraphFont"/>
    <w:link w:val="Footer"/>
    <w:rsid w:val="001948C1"/>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1948C1"/>
    <w:pPr>
      <w:overflowPunct w:val="0"/>
      <w:autoSpaceDE w:val="0"/>
      <w:autoSpaceDN w:val="0"/>
      <w:adjustRightInd w:val="0"/>
      <w:ind w:firstLine="360"/>
      <w:jc w:val="both"/>
      <w:textAlignment w:val="baseline"/>
    </w:pPr>
    <w:rPr>
      <w:rFonts w:ascii="Book Antiqua" w:hAnsi="Book Antiqua"/>
      <w:szCs w:val="20"/>
    </w:rPr>
  </w:style>
  <w:style w:type="character" w:customStyle="1" w:styleId="BodyTextIndent2Char">
    <w:name w:val="Body Text Indent 2 Char"/>
    <w:basedOn w:val="DefaultParagraphFont"/>
    <w:link w:val="BodyTextIndent2"/>
    <w:rsid w:val="001948C1"/>
    <w:rPr>
      <w:rFonts w:ascii="Book Antiqua" w:eastAsia="Times New Roman" w:hAnsi="Book Antiqua" w:cs="Times New Roman"/>
      <w:sz w:val="24"/>
      <w:szCs w:val="20"/>
      <w:lang w:val="en-US"/>
    </w:rPr>
  </w:style>
  <w:style w:type="paragraph" w:styleId="NormalIndent">
    <w:name w:val="Normal Indent"/>
    <w:basedOn w:val="Normal"/>
    <w:rsid w:val="001948C1"/>
    <w:pPr>
      <w:overflowPunct w:val="0"/>
      <w:autoSpaceDE w:val="0"/>
      <w:autoSpaceDN w:val="0"/>
      <w:adjustRightInd w:val="0"/>
      <w:ind w:left="720"/>
      <w:textAlignment w:val="baseline"/>
    </w:pPr>
    <w:rPr>
      <w:rFonts w:ascii="Book Antiqua" w:hAnsi="Book Antiqua"/>
      <w:sz w:val="20"/>
      <w:szCs w:val="20"/>
    </w:rPr>
  </w:style>
  <w:style w:type="paragraph" w:styleId="BodyTextIndent3">
    <w:name w:val="Body Text Indent 3"/>
    <w:basedOn w:val="Normal"/>
    <w:link w:val="BodyTextIndent3Char"/>
    <w:rsid w:val="001948C1"/>
    <w:pPr>
      <w:overflowPunct w:val="0"/>
      <w:autoSpaceDE w:val="0"/>
      <w:autoSpaceDN w:val="0"/>
      <w:adjustRightInd w:val="0"/>
      <w:ind w:firstLine="720"/>
      <w:jc w:val="both"/>
      <w:textAlignment w:val="baseline"/>
    </w:pPr>
    <w:rPr>
      <w:rFonts w:ascii="Book Antiqua" w:hAnsi="Book Antiqua"/>
      <w:szCs w:val="20"/>
    </w:rPr>
  </w:style>
  <w:style w:type="character" w:customStyle="1" w:styleId="BodyTextIndent3Char">
    <w:name w:val="Body Text Indent 3 Char"/>
    <w:basedOn w:val="DefaultParagraphFont"/>
    <w:link w:val="BodyTextIndent3"/>
    <w:rsid w:val="001948C1"/>
    <w:rPr>
      <w:rFonts w:ascii="Book Antiqua" w:eastAsia="Times New Roman" w:hAnsi="Book Antiqua" w:cs="Times New Roman"/>
      <w:sz w:val="24"/>
      <w:szCs w:val="20"/>
      <w:lang w:val="en-US"/>
    </w:rPr>
  </w:style>
  <w:style w:type="paragraph" w:styleId="BodyTextIndent">
    <w:name w:val="Body Text Indent"/>
    <w:basedOn w:val="Normal"/>
    <w:link w:val="BodyTextIndentChar"/>
    <w:rsid w:val="001948C1"/>
    <w:pPr>
      <w:overflowPunct w:val="0"/>
      <w:autoSpaceDE w:val="0"/>
      <w:autoSpaceDN w:val="0"/>
      <w:adjustRightInd w:val="0"/>
      <w:spacing w:after="120"/>
      <w:ind w:left="720" w:hanging="720"/>
      <w:textAlignment w:val="baseline"/>
    </w:pPr>
    <w:rPr>
      <w:rFonts w:ascii="Book Antiqua" w:hAnsi="Book Antiqua"/>
      <w:szCs w:val="20"/>
      <w:lang w:val="en-GB"/>
    </w:rPr>
  </w:style>
  <w:style w:type="character" w:customStyle="1" w:styleId="BodyTextIndentChar">
    <w:name w:val="Body Text Indent Char"/>
    <w:basedOn w:val="DefaultParagraphFont"/>
    <w:link w:val="BodyTextIndent"/>
    <w:rsid w:val="001948C1"/>
    <w:rPr>
      <w:rFonts w:ascii="Book Antiqua" w:eastAsia="Times New Roman" w:hAnsi="Book Antiqua" w:cs="Times New Roman"/>
      <w:sz w:val="24"/>
      <w:szCs w:val="20"/>
      <w:lang w:val="en-GB"/>
    </w:rPr>
  </w:style>
  <w:style w:type="paragraph" w:styleId="NormalWeb">
    <w:name w:val="Normal (Web)"/>
    <w:basedOn w:val="Normal"/>
    <w:rsid w:val="001948C1"/>
    <w:pPr>
      <w:spacing w:before="100" w:beforeAutospacing="1" w:after="100" w:afterAutospacing="1"/>
      <w:ind w:right="160" w:firstLine="300"/>
    </w:pPr>
    <w:rPr>
      <w:rFonts w:eastAsia="SimSun" w:cs="Arial"/>
      <w:sz w:val="20"/>
      <w:szCs w:val="20"/>
      <w:lang w:eastAsia="zh-CN"/>
    </w:rPr>
  </w:style>
  <w:style w:type="paragraph" w:styleId="EndnoteText">
    <w:name w:val="endnote text"/>
    <w:basedOn w:val="Normal"/>
    <w:link w:val="EndnoteTextChar"/>
    <w:semiHidden/>
    <w:rsid w:val="001948C1"/>
    <w:pPr>
      <w:overflowPunct w:val="0"/>
      <w:autoSpaceDE w:val="0"/>
      <w:autoSpaceDN w:val="0"/>
      <w:adjustRightInd w:val="0"/>
      <w:textAlignment w:val="baseline"/>
    </w:pPr>
    <w:rPr>
      <w:rFonts w:ascii="Times New Roman" w:hAnsi="Times New Roman"/>
      <w:sz w:val="20"/>
      <w:szCs w:val="20"/>
      <w:lang w:eastAsia="zh-CN"/>
    </w:rPr>
  </w:style>
  <w:style w:type="character" w:customStyle="1" w:styleId="EndnoteTextChar">
    <w:name w:val="Endnote Text Char"/>
    <w:basedOn w:val="DefaultParagraphFont"/>
    <w:link w:val="EndnoteText"/>
    <w:semiHidden/>
    <w:rsid w:val="001948C1"/>
    <w:rPr>
      <w:rFonts w:ascii="Times New Roman" w:eastAsia="Times New Roman" w:hAnsi="Times New Roman" w:cs="Times New Roman"/>
      <w:sz w:val="20"/>
      <w:szCs w:val="20"/>
      <w:lang w:val="en-US" w:eastAsia="zh-CN"/>
    </w:rPr>
  </w:style>
  <w:style w:type="paragraph" w:customStyle="1" w:styleId="indentlevel1">
    <w:name w:val="indentlevel1"/>
    <w:basedOn w:val="Normal"/>
    <w:rsid w:val="001948C1"/>
    <w:pPr>
      <w:spacing w:before="100" w:beforeAutospacing="1" w:after="100" w:afterAutospacing="1"/>
      <w:ind w:left="480"/>
    </w:pPr>
    <w:rPr>
      <w:rFonts w:ascii="Times New Roman" w:eastAsia="SimSun" w:hAnsi="Times New Roman"/>
      <w:lang w:eastAsia="zh-CN"/>
    </w:rPr>
  </w:style>
  <w:style w:type="paragraph" w:customStyle="1" w:styleId="indentlevel2">
    <w:name w:val="indentlevel2"/>
    <w:basedOn w:val="Normal"/>
    <w:rsid w:val="001948C1"/>
    <w:pPr>
      <w:spacing w:before="100" w:beforeAutospacing="1" w:after="100" w:afterAutospacing="1"/>
      <w:ind w:left="960"/>
    </w:pPr>
    <w:rPr>
      <w:rFonts w:ascii="Times New Roman" w:eastAsia="SimSun" w:hAnsi="Times New Roman"/>
      <w:lang w:eastAsia="zh-CN"/>
    </w:rPr>
  </w:style>
  <w:style w:type="paragraph" w:customStyle="1" w:styleId="indentlevel3">
    <w:name w:val="indentlevel3"/>
    <w:basedOn w:val="Normal"/>
    <w:rsid w:val="001948C1"/>
    <w:pPr>
      <w:spacing w:before="100" w:beforeAutospacing="1" w:after="100" w:afterAutospacing="1"/>
      <w:ind w:left="1440"/>
    </w:pPr>
    <w:rPr>
      <w:rFonts w:ascii="Times New Roman" w:eastAsia="SimSun" w:hAnsi="Times New Roman"/>
      <w:lang w:eastAsia="zh-CN"/>
    </w:rPr>
  </w:style>
  <w:style w:type="character" w:styleId="EndnoteReference">
    <w:name w:val="endnote reference"/>
    <w:basedOn w:val="DefaultParagraphFont"/>
    <w:semiHidden/>
    <w:rsid w:val="001948C1"/>
    <w:rPr>
      <w:vertAlign w:val="superscript"/>
    </w:rPr>
  </w:style>
  <w:style w:type="paragraph" w:styleId="Header">
    <w:name w:val="header"/>
    <w:basedOn w:val="Normal"/>
    <w:link w:val="HeaderChar"/>
    <w:rsid w:val="001948C1"/>
    <w:pPr>
      <w:tabs>
        <w:tab w:val="center" w:pos="4320"/>
        <w:tab w:val="right" w:pos="8640"/>
      </w:tabs>
      <w:overflowPunct w:val="0"/>
      <w:autoSpaceDE w:val="0"/>
      <w:autoSpaceDN w:val="0"/>
      <w:adjustRightInd w:val="0"/>
      <w:textAlignment w:val="baseline"/>
    </w:pPr>
    <w:rPr>
      <w:szCs w:val="20"/>
    </w:rPr>
  </w:style>
  <w:style w:type="character" w:customStyle="1" w:styleId="HeaderChar">
    <w:name w:val="Header Char"/>
    <w:basedOn w:val="DefaultParagraphFont"/>
    <w:link w:val="Header"/>
    <w:rsid w:val="001948C1"/>
    <w:rPr>
      <w:rFonts w:ascii="Arial" w:eastAsia="Times New Roman" w:hAnsi="Arial" w:cs="Times New Roman"/>
      <w:sz w:val="24"/>
      <w:szCs w:val="20"/>
      <w:lang w:val="en-US"/>
    </w:rPr>
  </w:style>
  <w:style w:type="paragraph" w:styleId="PlainText">
    <w:name w:val="Plain Text"/>
    <w:basedOn w:val="Normal"/>
    <w:link w:val="PlainTextChar"/>
    <w:rsid w:val="001948C1"/>
    <w:rPr>
      <w:rFonts w:ascii="Courier New" w:hAnsi="Courier New" w:cs="Courier New"/>
      <w:sz w:val="20"/>
      <w:szCs w:val="20"/>
    </w:rPr>
  </w:style>
  <w:style w:type="character" w:customStyle="1" w:styleId="PlainTextChar">
    <w:name w:val="Plain Text Char"/>
    <w:basedOn w:val="DefaultParagraphFont"/>
    <w:link w:val="PlainText"/>
    <w:rsid w:val="001948C1"/>
    <w:rPr>
      <w:rFonts w:ascii="Courier New" w:eastAsia="Times New Roman" w:hAnsi="Courier New" w:cs="Courier New"/>
      <w:sz w:val="20"/>
      <w:szCs w:val="20"/>
      <w:lang w:val="en-US"/>
    </w:rPr>
  </w:style>
  <w:style w:type="paragraph" w:styleId="E-mailSignature">
    <w:name w:val="E-mail Signature"/>
    <w:basedOn w:val="Normal"/>
    <w:link w:val="E-mailSignatureChar"/>
    <w:rsid w:val="001948C1"/>
    <w:pPr>
      <w:spacing w:before="100" w:beforeAutospacing="1" w:after="100" w:afterAutospacing="1"/>
    </w:pPr>
    <w:rPr>
      <w:rFonts w:ascii="Times New Roman" w:hAnsi="Times New Roman"/>
    </w:rPr>
  </w:style>
  <w:style w:type="character" w:customStyle="1" w:styleId="E-mailSignatureChar">
    <w:name w:val="E-mail Signature Char"/>
    <w:basedOn w:val="DefaultParagraphFont"/>
    <w:link w:val="E-mailSignature"/>
    <w:rsid w:val="001948C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in.gc.ca/news02/02-046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tizensassembly.bc.ca" TargetMode="External"/><Relationship Id="rId5" Type="http://schemas.openxmlformats.org/officeDocument/2006/relationships/settings" Target="settings.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mailto:psmith@sfu.c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ity.vancouver.bc.ca/erc" TargetMode="External"/><Relationship Id="rId1" Type="http://schemas.openxmlformats.org/officeDocument/2006/relationships/hyperlink" Target="HTTP://MCAWS.GOV.BC.CA/CHARTER%20LEGISLATION/CONSEQUENTIALS.%2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F4D5D-0676-471F-B9F7-0BE104F3E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9707</Words>
  <Characters>55333</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Simon Fraser University</Company>
  <LinksUpToDate>false</LinksUpToDate>
  <CharactersWithSpaces>64911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Paddy</dc:creator>
  <cp:lastModifiedBy>Fred Cutler</cp:lastModifiedBy>
  <cp:revision>2</cp:revision>
  <dcterms:created xsi:type="dcterms:W3CDTF">2013-04-30T16:59:00Z</dcterms:created>
  <dcterms:modified xsi:type="dcterms:W3CDTF">2013-04-30T16:59:00Z</dcterms:modified>
</cp:coreProperties>
</file>