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49E18" w14:textId="6B1A1B0E" w:rsidR="00C8326D" w:rsidRPr="00862AD5" w:rsidRDefault="00C8326D" w:rsidP="0076170D">
      <w:pPr>
        <w:jc w:val="center"/>
        <w:rPr>
          <w:rFonts w:ascii="Times New Roman" w:hAnsi="Times New Roman"/>
          <w:b/>
        </w:rPr>
      </w:pPr>
      <w:r w:rsidRPr="00862AD5">
        <w:rPr>
          <w:rFonts w:ascii="Times New Roman" w:hAnsi="Times New Roman"/>
          <w:b/>
        </w:rPr>
        <w:t xml:space="preserve">Perceptions of Consulting Practices and Options </w:t>
      </w:r>
      <w:bookmarkStart w:id="0" w:name="_GoBack"/>
      <w:bookmarkEnd w:id="0"/>
      <w:r w:rsidRPr="00862AD5">
        <w:rPr>
          <w:rFonts w:ascii="Times New Roman" w:hAnsi="Times New Roman"/>
          <w:b/>
        </w:rPr>
        <w:t xml:space="preserve">among Canadian Government </w:t>
      </w:r>
      <w:r w:rsidR="00246346" w:rsidRPr="00862AD5">
        <w:rPr>
          <w:rFonts w:ascii="Times New Roman" w:hAnsi="Times New Roman"/>
          <w:b/>
        </w:rPr>
        <w:t xml:space="preserve">Policy </w:t>
      </w:r>
      <w:r w:rsidRPr="00862AD5">
        <w:rPr>
          <w:rFonts w:ascii="Times New Roman" w:hAnsi="Times New Roman"/>
          <w:b/>
        </w:rPr>
        <w:t>Managers</w:t>
      </w:r>
    </w:p>
    <w:p w14:paraId="0101AF34" w14:textId="77777777" w:rsidR="00C8326D" w:rsidRPr="008B0A1E" w:rsidRDefault="00C8326D" w:rsidP="00164415">
      <w:pPr>
        <w:jc w:val="center"/>
        <w:rPr>
          <w:rFonts w:ascii="Times New Roman" w:hAnsi="Times New Roman"/>
        </w:rPr>
      </w:pPr>
    </w:p>
    <w:p w14:paraId="38AAFF02" w14:textId="77777777" w:rsidR="00C8326D" w:rsidRDefault="00C8326D" w:rsidP="00164415">
      <w:pPr>
        <w:jc w:val="center"/>
        <w:rPr>
          <w:rFonts w:ascii="Times New Roman" w:hAnsi="Times New Roman"/>
        </w:rPr>
      </w:pPr>
    </w:p>
    <w:p w14:paraId="1305D482" w14:textId="77777777" w:rsidR="00246346" w:rsidRDefault="00246346" w:rsidP="00164415">
      <w:pPr>
        <w:jc w:val="center"/>
        <w:rPr>
          <w:rFonts w:ascii="Times New Roman" w:hAnsi="Times New Roman"/>
        </w:rPr>
      </w:pPr>
    </w:p>
    <w:p w14:paraId="61B649EE" w14:textId="77777777" w:rsidR="00246346" w:rsidRDefault="00246346" w:rsidP="00164415">
      <w:pPr>
        <w:jc w:val="center"/>
        <w:rPr>
          <w:rFonts w:ascii="Times New Roman" w:hAnsi="Times New Roman"/>
        </w:rPr>
      </w:pPr>
    </w:p>
    <w:p w14:paraId="293F0CF9" w14:textId="77777777" w:rsidR="00246346" w:rsidRDefault="00246346" w:rsidP="00164415">
      <w:pPr>
        <w:jc w:val="center"/>
        <w:rPr>
          <w:rFonts w:ascii="Times New Roman" w:hAnsi="Times New Roman"/>
        </w:rPr>
      </w:pPr>
    </w:p>
    <w:p w14:paraId="72E17A4E" w14:textId="77777777" w:rsidR="00246346" w:rsidRDefault="00246346" w:rsidP="00164415">
      <w:pPr>
        <w:jc w:val="center"/>
        <w:rPr>
          <w:rFonts w:ascii="Times New Roman" w:hAnsi="Times New Roman"/>
        </w:rPr>
      </w:pPr>
    </w:p>
    <w:p w14:paraId="4F1DF7F9" w14:textId="77777777" w:rsidR="00246346" w:rsidRDefault="00246346" w:rsidP="00164415">
      <w:pPr>
        <w:jc w:val="center"/>
        <w:rPr>
          <w:rFonts w:ascii="Times New Roman" w:hAnsi="Times New Roman"/>
        </w:rPr>
      </w:pPr>
    </w:p>
    <w:p w14:paraId="4BBEEC30" w14:textId="77777777" w:rsidR="00246346" w:rsidRDefault="00246346" w:rsidP="00164415">
      <w:pPr>
        <w:jc w:val="center"/>
        <w:rPr>
          <w:rFonts w:ascii="Times New Roman" w:hAnsi="Times New Roman"/>
        </w:rPr>
      </w:pPr>
    </w:p>
    <w:p w14:paraId="7677DA61" w14:textId="77777777" w:rsidR="00246346" w:rsidRPr="008B0A1E" w:rsidRDefault="00246346" w:rsidP="00164415">
      <w:pPr>
        <w:jc w:val="center"/>
        <w:rPr>
          <w:rFonts w:ascii="Times New Roman" w:hAnsi="Times New Roman"/>
        </w:rPr>
      </w:pPr>
    </w:p>
    <w:p w14:paraId="6F01BF7C" w14:textId="77777777" w:rsidR="00A01348" w:rsidRPr="008B0A1E" w:rsidRDefault="00A01348" w:rsidP="00246346">
      <w:pPr>
        <w:pStyle w:val="Bibliography"/>
        <w:jc w:val="center"/>
        <w:rPr>
          <w:rFonts w:ascii="Times New Roman" w:hAnsi="Times New Roman" w:cs="Times New Roman"/>
        </w:rPr>
      </w:pPr>
      <w:r w:rsidRPr="008B0A1E">
        <w:rPr>
          <w:rFonts w:ascii="Times New Roman" w:hAnsi="Times New Roman" w:cs="Times New Roman"/>
        </w:rPr>
        <w:t>M. Howlett</w:t>
      </w:r>
    </w:p>
    <w:p w14:paraId="311BE8D1" w14:textId="77777777" w:rsidR="00A01348" w:rsidRPr="008B0A1E" w:rsidRDefault="00A01348" w:rsidP="00104316">
      <w:pPr>
        <w:pStyle w:val="Bibliography"/>
        <w:jc w:val="center"/>
        <w:rPr>
          <w:rFonts w:ascii="Times New Roman" w:hAnsi="Times New Roman" w:cs="Times New Roman"/>
        </w:rPr>
      </w:pPr>
      <w:r w:rsidRPr="008B0A1E">
        <w:rPr>
          <w:rFonts w:ascii="Times New Roman" w:hAnsi="Times New Roman" w:cs="Times New Roman"/>
        </w:rPr>
        <w:t>A. Migone</w:t>
      </w:r>
    </w:p>
    <w:p w14:paraId="16BF5BA4" w14:textId="77777777" w:rsidR="00A01348" w:rsidRPr="008B0A1E" w:rsidRDefault="00A01348" w:rsidP="00164415">
      <w:pPr>
        <w:pStyle w:val="Bibliography"/>
        <w:jc w:val="center"/>
        <w:rPr>
          <w:rFonts w:ascii="Times New Roman" w:hAnsi="Times New Roman" w:cs="Times New Roman"/>
        </w:rPr>
      </w:pPr>
      <w:r w:rsidRPr="008B0A1E">
        <w:rPr>
          <w:rFonts w:ascii="Times New Roman" w:hAnsi="Times New Roman" w:cs="Times New Roman"/>
        </w:rPr>
        <w:t>Department of Political Science</w:t>
      </w:r>
    </w:p>
    <w:p w14:paraId="462B6185" w14:textId="77777777" w:rsidR="00A01348" w:rsidRPr="008B0A1E" w:rsidRDefault="00A01348" w:rsidP="00164415">
      <w:pPr>
        <w:pStyle w:val="Bibliography"/>
        <w:jc w:val="center"/>
        <w:rPr>
          <w:rFonts w:ascii="Times New Roman" w:hAnsi="Times New Roman" w:cs="Times New Roman"/>
        </w:rPr>
      </w:pPr>
      <w:r w:rsidRPr="008B0A1E">
        <w:rPr>
          <w:rFonts w:ascii="Times New Roman" w:hAnsi="Times New Roman" w:cs="Times New Roman"/>
        </w:rPr>
        <w:t>Simon Fraser University</w:t>
      </w:r>
    </w:p>
    <w:p w14:paraId="0948F4F9" w14:textId="77777777" w:rsidR="00A01348" w:rsidRPr="008B0A1E" w:rsidRDefault="00A01348" w:rsidP="00164415">
      <w:pPr>
        <w:pStyle w:val="Bibliography"/>
        <w:jc w:val="center"/>
        <w:rPr>
          <w:rFonts w:ascii="Times New Roman" w:hAnsi="Times New Roman" w:cs="Times New Roman"/>
        </w:rPr>
      </w:pPr>
      <w:r w:rsidRPr="008B0A1E">
        <w:rPr>
          <w:rFonts w:ascii="Times New Roman" w:hAnsi="Times New Roman" w:cs="Times New Roman"/>
        </w:rPr>
        <w:t>Burnaby, BC</w:t>
      </w:r>
    </w:p>
    <w:p w14:paraId="4EEABD23" w14:textId="77777777" w:rsidR="00A01348" w:rsidRPr="008B0A1E" w:rsidRDefault="00A01348" w:rsidP="00164415">
      <w:pPr>
        <w:pStyle w:val="Bibliography"/>
        <w:jc w:val="center"/>
        <w:rPr>
          <w:rFonts w:ascii="Times New Roman" w:hAnsi="Times New Roman" w:cs="Times New Roman"/>
        </w:rPr>
      </w:pPr>
      <w:r w:rsidRPr="008B0A1E">
        <w:rPr>
          <w:rFonts w:ascii="Times New Roman" w:hAnsi="Times New Roman" w:cs="Times New Roman"/>
        </w:rPr>
        <w:t>Canada V5A 1S6</w:t>
      </w:r>
    </w:p>
    <w:p w14:paraId="1E66C8E6" w14:textId="77777777" w:rsidR="00A01348" w:rsidRPr="008B0A1E" w:rsidRDefault="00E63379" w:rsidP="00164415">
      <w:pPr>
        <w:pStyle w:val="Bibliography"/>
        <w:jc w:val="center"/>
        <w:rPr>
          <w:rFonts w:ascii="Times New Roman" w:hAnsi="Times New Roman" w:cs="Times New Roman"/>
        </w:rPr>
      </w:pPr>
      <w:hyperlink r:id="rId8" w:history="1">
        <w:r w:rsidR="00A01348" w:rsidRPr="008B0A1E">
          <w:rPr>
            <w:rStyle w:val="Hyperlink"/>
            <w:rFonts w:ascii="Times New Roman" w:hAnsi="Times New Roman" w:cs="Times New Roman"/>
          </w:rPr>
          <w:t>howlett@sfu.ca</w:t>
        </w:r>
      </w:hyperlink>
    </w:p>
    <w:p w14:paraId="6835E995" w14:textId="77777777" w:rsidR="00A01348" w:rsidRPr="008B0A1E" w:rsidRDefault="00E63379" w:rsidP="00164415">
      <w:pPr>
        <w:pStyle w:val="Bibliography"/>
        <w:jc w:val="center"/>
        <w:rPr>
          <w:rFonts w:ascii="Times New Roman" w:hAnsi="Times New Roman" w:cs="Times New Roman"/>
        </w:rPr>
      </w:pPr>
      <w:hyperlink r:id="rId9" w:history="1">
        <w:r w:rsidR="00A01348" w:rsidRPr="008B0A1E">
          <w:rPr>
            <w:rStyle w:val="Hyperlink"/>
            <w:rFonts w:ascii="Times New Roman" w:hAnsi="Times New Roman" w:cs="Times New Roman"/>
          </w:rPr>
          <w:t>amigone@sfu.ca</w:t>
        </w:r>
      </w:hyperlink>
    </w:p>
    <w:p w14:paraId="774EE4A6" w14:textId="77777777" w:rsidR="00C8326D" w:rsidRDefault="00C8326D" w:rsidP="00164415">
      <w:pPr>
        <w:jc w:val="center"/>
        <w:rPr>
          <w:rFonts w:ascii="Times New Roman" w:hAnsi="Times New Roman"/>
        </w:rPr>
      </w:pPr>
    </w:p>
    <w:p w14:paraId="28A6A73F" w14:textId="77777777" w:rsidR="00246346" w:rsidRDefault="00246346" w:rsidP="00164415">
      <w:pPr>
        <w:jc w:val="center"/>
        <w:rPr>
          <w:rFonts w:ascii="Times New Roman" w:hAnsi="Times New Roman"/>
        </w:rPr>
      </w:pPr>
    </w:p>
    <w:p w14:paraId="1C6AE7F1" w14:textId="77777777" w:rsidR="00246346" w:rsidRDefault="00246346" w:rsidP="00164415">
      <w:pPr>
        <w:jc w:val="center"/>
        <w:rPr>
          <w:rFonts w:ascii="Times New Roman" w:hAnsi="Times New Roman"/>
        </w:rPr>
      </w:pPr>
    </w:p>
    <w:p w14:paraId="4C50CA0A" w14:textId="77777777" w:rsidR="00246346" w:rsidRDefault="00246346" w:rsidP="00164415">
      <w:pPr>
        <w:jc w:val="center"/>
        <w:rPr>
          <w:rFonts w:ascii="Times New Roman" w:hAnsi="Times New Roman"/>
        </w:rPr>
      </w:pPr>
    </w:p>
    <w:p w14:paraId="5263B208" w14:textId="77777777" w:rsidR="00246346" w:rsidRDefault="00246346" w:rsidP="00164415">
      <w:pPr>
        <w:jc w:val="center"/>
        <w:rPr>
          <w:rFonts w:ascii="Times New Roman" w:hAnsi="Times New Roman"/>
        </w:rPr>
      </w:pPr>
    </w:p>
    <w:p w14:paraId="55B1B2EC" w14:textId="77777777" w:rsidR="00246346" w:rsidRDefault="00246346" w:rsidP="00164415">
      <w:pPr>
        <w:jc w:val="center"/>
        <w:rPr>
          <w:rFonts w:ascii="Times New Roman" w:hAnsi="Times New Roman"/>
        </w:rPr>
      </w:pPr>
    </w:p>
    <w:p w14:paraId="1D29F5A8" w14:textId="77777777" w:rsidR="00246346" w:rsidRDefault="00246346" w:rsidP="00164415">
      <w:pPr>
        <w:jc w:val="center"/>
        <w:rPr>
          <w:rFonts w:ascii="Times New Roman" w:hAnsi="Times New Roman"/>
        </w:rPr>
      </w:pPr>
    </w:p>
    <w:p w14:paraId="6DC1F36A" w14:textId="77777777" w:rsidR="00246346" w:rsidRDefault="00246346" w:rsidP="00164415">
      <w:pPr>
        <w:jc w:val="center"/>
        <w:rPr>
          <w:rFonts w:ascii="Times New Roman" w:hAnsi="Times New Roman"/>
        </w:rPr>
      </w:pPr>
    </w:p>
    <w:p w14:paraId="44A40AFD" w14:textId="77777777" w:rsidR="00246346" w:rsidRDefault="00246346" w:rsidP="00164415">
      <w:pPr>
        <w:jc w:val="center"/>
        <w:rPr>
          <w:rFonts w:ascii="Times New Roman" w:hAnsi="Times New Roman"/>
        </w:rPr>
      </w:pPr>
    </w:p>
    <w:p w14:paraId="644671E3" w14:textId="77777777" w:rsidR="00246346" w:rsidRDefault="00246346" w:rsidP="00164415">
      <w:pPr>
        <w:jc w:val="center"/>
        <w:rPr>
          <w:rFonts w:ascii="Times New Roman" w:hAnsi="Times New Roman"/>
        </w:rPr>
      </w:pPr>
    </w:p>
    <w:p w14:paraId="7D8BF378" w14:textId="77777777" w:rsidR="00246346" w:rsidRDefault="00246346" w:rsidP="00164415">
      <w:pPr>
        <w:jc w:val="center"/>
        <w:rPr>
          <w:rFonts w:ascii="Times New Roman" w:hAnsi="Times New Roman"/>
        </w:rPr>
      </w:pPr>
    </w:p>
    <w:p w14:paraId="7D0832E8" w14:textId="77777777" w:rsidR="00246346" w:rsidRDefault="00246346" w:rsidP="00164415">
      <w:pPr>
        <w:jc w:val="center"/>
        <w:rPr>
          <w:rFonts w:ascii="Times New Roman" w:hAnsi="Times New Roman"/>
        </w:rPr>
      </w:pPr>
    </w:p>
    <w:p w14:paraId="3E95F946" w14:textId="77777777" w:rsidR="00246346" w:rsidRDefault="00246346" w:rsidP="00164415">
      <w:pPr>
        <w:jc w:val="center"/>
        <w:rPr>
          <w:rFonts w:ascii="Times New Roman" w:hAnsi="Times New Roman"/>
        </w:rPr>
      </w:pPr>
      <w:r>
        <w:rPr>
          <w:rFonts w:ascii="Times New Roman" w:hAnsi="Times New Roman"/>
        </w:rPr>
        <w:t>Paper Presented</w:t>
      </w:r>
    </w:p>
    <w:p w14:paraId="1A88CA2C" w14:textId="77777777" w:rsidR="00246346" w:rsidRDefault="00246346" w:rsidP="00164415">
      <w:pPr>
        <w:jc w:val="center"/>
        <w:rPr>
          <w:rFonts w:ascii="Times New Roman" w:hAnsi="Times New Roman"/>
        </w:rPr>
      </w:pPr>
      <w:r>
        <w:rPr>
          <w:rFonts w:ascii="Times New Roman" w:hAnsi="Times New Roman"/>
        </w:rPr>
        <w:t>to the Annual Meeting of the</w:t>
      </w:r>
    </w:p>
    <w:p w14:paraId="0CC0C85D" w14:textId="77777777" w:rsidR="00246346" w:rsidRDefault="00246346" w:rsidP="00164415">
      <w:pPr>
        <w:jc w:val="center"/>
        <w:rPr>
          <w:rFonts w:ascii="Times New Roman" w:hAnsi="Times New Roman"/>
        </w:rPr>
      </w:pPr>
      <w:r>
        <w:rPr>
          <w:rFonts w:ascii="Times New Roman" w:hAnsi="Times New Roman"/>
        </w:rPr>
        <w:t>British Columbia Political Studies Association</w:t>
      </w:r>
    </w:p>
    <w:p w14:paraId="5AD34B1C" w14:textId="77777777" w:rsidR="00246346" w:rsidRDefault="00246346" w:rsidP="00164415">
      <w:pPr>
        <w:jc w:val="center"/>
        <w:rPr>
          <w:rFonts w:ascii="Times New Roman" w:hAnsi="Times New Roman"/>
        </w:rPr>
      </w:pPr>
    </w:p>
    <w:p w14:paraId="76F55B44" w14:textId="77777777" w:rsidR="00246346" w:rsidRDefault="00246346" w:rsidP="00164415">
      <w:pPr>
        <w:jc w:val="center"/>
        <w:rPr>
          <w:rFonts w:ascii="Times New Roman" w:hAnsi="Times New Roman"/>
        </w:rPr>
      </w:pPr>
    </w:p>
    <w:p w14:paraId="3DBB47B3" w14:textId="77777777" w:rsidR="00246346" w:rsidRDefault="00246346" w:rsidP="00164415">
      <w:pPr>
        <w:jc w:val="center"/>
        <w:rPr>
          <w:rFonts w:ascii="Times New Roman" w:hAnsi="Times New Roman"/>
        </w:rPr>
      </w:pPr>
      <w:r>
        <w:rPr>
          <w:rFonts w:ascii="Times New Roman" w:hAnsi="Times New Roman"/>
        </w:rPr>
        <w:t>University of British Columbia</w:t>
      </w:r>
    </w:p>
    <w:p w14:paraId="54BA6B94" w14:textId="77777777" w:rsidR="00246346" w:rsidRDefault="00246346" w:rsidP="00164415">
      <w:pPr>
        <w:jc w:val="center"/>
        <w:rPr>
          <w:rFonts w:ascii="Times New Roman" w:hAnsi="Times New Roman"/>
        </w:rPr>
      </w:pPr>
    </w:p>
    <w:p w14:paraId="0EBDE688" w14:textId="77777777" w:rsidR="00246346" w:rsidRDefault="00246346" w:rsidP="00164415">
      <w:pPr>
        <w:jc w:val="center"/>
        <w:rPr>
          <w:rFonts w:ascii="Times New Roman" w:hAnsi="Times New Roman"/>
        </w:rPr>
      </w:pPr>
      <w:r>
        <w:rPr>
          <w:rFonts w:ascii="Times New Roman" w:hAnsi="Times New Roman"/>
        </w:rPr>
        <w:t>May 2-3, 2013</w:t>
      </w:r>
    </w:p>
    <w:p w14:paraId="2641BA1D" w14:textId="77777777" w:rsidR="0009664C" w:rsidRDefault="0009664C" w:rsidP="00164415">
      <w:pPr>
        <w:jc w:val="center"/>
        <w:rPr>
          <w:rFonts w:ascii="Times New Roman" w:hAnsi="Times New Roman"/>
        </w:rPr>
      </w:pPr>
    </w:p>
    <w:p w14:paraId="428DA1AF" w14:textId="77777777" w:rsidR="0009664C" w:rsidRDefault="0009664C" w:rsidP="00164415">
      <w:pPr>
        <w:jc w:val="center"/>
        <w:rPr>
          <w:rFonts w:ascii="Times New Roman" w:hAnsi="Times New Roman"/>
        </w:rPr>
      </w:pPr>
    </w:p>
    <w:p w14:paraId="4E80846D" w14:textId="77777777" w:rsidR="0009664C" w:rsidRDefault="0009664C" w:rsidP="00164415">
      <w:pPr>
        <w:jc w:val="center"/>
        <w:rPr>
          <w:rFonts w:ascii="Times New Roman" w:hAnsi="Times New Roman"/>
        </w:rPr>
      </w:pPr>
    </w:p>
    <w:p w14:paraId="336518DF" w14:textId="77777777" w:rsidR="0009664C" w:rsidRDefault="0009664C" w:rsidP="00164415">
      <w:pPr>
        <w:jc w:val="center"/>
        <w:rPr>
          <w:rFonts w:ascii="Times New Roman" w:hAnsi="Times New Roman"/>
        </w:rPr>
      </w:pPr>
      <w:r>
        <w:rPr>
          <w:rFonts w:ascii="Times New Roman" w:hAnsi="Times New Roman"/>
        </w:rPr>
        <w:t>Draft 4</w:t>
      </w:r>
    </w:p>
    <w:p w14:paraId="48780398" w14:textId="77777777" w:rsidR="0009664C" w:rsidRPr="008B0A1E" w:rsidRDefault="0009664C" w:rsidP="00164415">
      <w:pPr>
        <w:jc w:val="center"/>
        <w:rPr>
          <w:rFonts w:ascii="Times New Roman" w:hAnsi="Times New Roman"/>
        </w:rPr>
      </w:pPr>
      <w:r>
        <w:rPr>
          <w:rFonts w:ascii="Times New Roman" w:hAnsi="Times New Roman"/>
        </w:rPr>
        <w:t>February 11, 2013</w:t>
      </w:r>
    </w:p>
    <w:p w14:paraId="3F2EBD3A" w14:textId="77777777" w:rsidR="0083539B" w:rsidRPr="00FE6D60" w:rsidRDefault="00246346">
      <w:pPr>
        <w:rPr>
          <w:rFonts w:ascii="Times New Roman" w:hAnsi="Times New Roman"/>
        </w:rPr>
      </w:pPr>
      <w:r>
        <w:rPr>
          <w:rFonts w:ascii="Times New Roman" w:hAnsi="Times New Roman"/>
        </w:rPr>
        <w:br w:type="page"/>
      </w:r>
      <w:r w:rsidR="0083539B" w:rsidRPr="00FE6D60">
        <w:rPr>
          <w:rFonts w:ascii="Times New Roman" w:hAnsi="Times New Roman"/>
          <w:b/>
        </w:rPr>
        <w:lastRenderedPageBreak/>
        <w:t>Abstract</w:t>
      </w:r>
    </w:p>
    <w:p w14:paraId="7F1E4032" w14:textId="77777777" w:rsidR="0083539B" w:rsidRDefault="0083539B">
      <w:pPr>
        <w:rPr>
          <w:rFonts w:ascii="Times New Roman" w:hAnsi="Times New Roman"/>
        </w:rPr>
      </w:pPr>
    </w:p>
    <w:p w14:paraId="4691AE1B" w14:textId="5BFF12CE" w:rsidR="0083539B" w:rsidRPr="00164415" w:rsidRDefault="0083539B" w:rsidP="00FE6D60">
      <w:pPr>
        <w:ind w:firstLine="720"/>
        <w:jc w:val="both"/>
        <w:rPr>
          <w:rFonts w:ascii="Times New Roman" w:hAnsi="Times New Roman" w:cs="Times New Roman"/>
          <w:i/>
          <w:noProof/>
        </w:rPr>
      </w:pPr>
      <w:r w:rsidRPr="00164415">
        <w:rPr>
          <w:rFonts w:ascii="Times New Roman" w:hAnsi="Times New Roman"/>
          <w:i/>
        </w:rPr>
        <w:t>This paper analyzes the responses from a survey of managers in the Canadian Federal government in order to assess their perceptions of the process and effects of policy consulting within their administrative units.  We argue that the broad interest that has emerged in the area of consulting in general in recent years</w:t>
      </w:r>
      <w:r w:rsidRPr="00164415">
        <w:rPr>
          <w:rFonts w:ascii="Times New Roman" w:hAnsi="Times New Roman" w:cs="Times New Roman"/>
          <w:i/>
          <w:noProof/>
        </w:rPr>
        <w:t xml:space="preserve"> has been related to the attempt at securing enhanced accountability especially in financial and budgetary matters, and has not dealt adequately with other issues such as the impact of increased external consulting on the range and quality of advice and services provided to government. We argue that this narrow focus on financial and budgetary issues surrounding recent developments such as value-for-money accounting outsourcing, and the use of temporary workers has missed many important dimensions of this kind of contracting behaviour, aspects which continue to occur even when contracting processes otherwise meet the requirements of public governance best practices such as openness, accountability, and participation. </w:t>
      </w:r>
    </w:p>
    <w:p w14:paraId="5DD12A08" w14:textId="77777777" w:rsidR="0083539B" w:rsidRPr="008B0A1E" w:rsidRDefault="0083539B" w:rsidP="00FE6D60">
      <w:pPr>
        <w:rPr>
          <w:rFonts w:ascii="Times New Roman" w:hAnsi="Times New Roman"/>
        </w:rPr>
      </w:pPr>
    </w:p>
    <w:p w14:paraId="3C466826" w14:textId="77777777" w:rsidR="0083539B" w:rsidRPr="008B0A1E" w:rsidRDefault="00C8326D">
      <w:pPr>
        <w:rPr>
          <w:rFonts w:ascii="Times New Roman" w:hAnsi="Times New Roman"/>
        </w:rPr>
      </w:pPr>
      <w:r w:rsidRPr="008B0A1E">
        <w:rPr>
          <w:rFonts w:ascii="Times New Roman" w:hAnsi="Times New Roman"/>
          <w:b/>
        </w:rPr>
        <w:t>Introduction</w:t>
      </w:r>
    </w:p>
    <w:p w14:paraId="74163B37" w14:textId="77777777" w:rsidR="00C8326D" w:rsidRPr="008B0A1E" w:rsidRDefault="00C8326D" w:rsidP="00164415">
      <w:pPr>
        <w:rPr>
          <w:rFonts w:ascii="Times New Roman" w:hAnsi="Times New Roman"/>
        </w:rPr>
      </w:pPr>
    </w:p>
    <w:p w14:paraId="13EA9CC7" w14:textId="716BF291" w:rsidR="0083539B" w:rsidRDefault="0083539B" w:rsidP="0083539B">
      <w:pPr>
        <w:spacing w:line="480" w:lineRule="auto"/>
        <w:ind w:firstLine="720"/>
        <w:jc w:val="both"/>
        <w:rPr>
          <w:rFonts w:ascii="Times New Roman" w:hAnsi="Times New Roman" w:cs="Times New Roman"/>
          <w:noProof/>
        </w:rPr>
      </w:pPr>
      <w:r>
        <w:rPr>
          <w:rFonts w:ascii="Times New Roman" w:hAnsi="Times New Roman"/>
        </w:rPr>
        <w:t>This paper analyzes</w:t>
      </w:r>
      <w:r w:rsidR="00A01348" w:rsidRPr="008B0A1E">
        <w:rPr>
          <w:rFonts w:ascii="Times New Roman" w:hAnsi="Times New Roman"/>
        </w:rPr>
        <w:t xml:space="preserve"> the responses from a survey of managers in the Canadian Federal government </w:t>
      </w:r>
      <w:r>
        <w:rPr>
          <w:rFonts w:ascii="Times New Roman" w:hAnsi="Times New Roman"/>
        </w:rPr>
        <w:t xml:space="preserve">in order </w:t>
      </w:r>
      <w:r w:rsidR="00A01348" w:rsidRPr="008B0A1E">
        <w:rPr>
          <w:rFonts w:ascii="Times New Roman" w:hAnsi="Times New Roman"/>
        </w:rPr>
        <w:t>to assess their perception</w:t>
      </w:r>
      <w:r>
        <w:rPr>
          <w:rFonts w:ascii="Times New Roman" w:hAnsi="Times New Roman"/>
        </w:rPr>
        <w:t>s</w:t>
      </w:r>
      <w:r w:rsidR="00A01348" w:rsidRPr="008B0A1E">
        <w:rPr>
          <w:rFonts w:ascii="Times New Roman" w:hAnsi="Times New Roman"/>
        </w:rPr>
        <w:t xml:space="preserve"> of the process and effects of </w:t>
      </w:r>
      <w:r>
        <w:rPr>
          <w:rFonts w:ascii="Times New Roman" w:hAnsi="Times New Roman"/>
        </w:rPr>
        <w:t xml:space="preserve">policy </w:t>
      </w:r>
      <w:r w:rsidR="00A01348" w:rsidRPr="008B0A1E">
        <w:rPr>
          <w:rFonts w:ascii="Times New Roman" w:hAnsi="Times New Roman"/>
        </w:rPr>
        <w:t>consulting</w:t>
      </w:r>
      <w:r w:rsidR="001E0E6B">
        <w:rPr>
          <w:rFonts w:ascii="Times New Roman" w:hAnsi="Times New Roman"/>
        </w:rPr>
        <w:t xml:space="preserve"> within their administrative units</w:t>
      </w:r>
      <w:r w:rsidR="00A01348" w:rsidRPr="008B0A1E">
        <w:rPr>
          <w:rFonts w:ascii="Times New Roman" w:hAnsi="Times New Roman"/>
        </w:rPr>
        <w:t xml:space="preserve">.  </w:t>
      </w:r>
      <w:r w:rsidR="007220F0">
        <w:rPr>
          <w:rFonts w:ascii="Times New Roman" w:hAnsi="Times New Roman"/>
        </w:rPr>
        <w:t xml:space="preserve">We argue that </w:t>
      </w:r>
      <w:r w:rsidR="00A01348" w:rsidRPr="008B0A1E">
        <w:rPr>
          <w:rFonts w:ascii="Times New Roman" w:hAnsi="Times New Roman"/>
        </w:rPr>
        <w:t xml:space="preserve">the broad interest that </w:t>
      </w:r>
      <w:r>
        <w:rPr>
          <w:rFonts w:ascii="Times New Roman" w:hAnsi="Times New Roman"/>
        </w:rPr>
        <w:t xml:space="preserve">has </w:t>
      </w:r>
      <w:r w:rsidR="00A01348" w:rsidRPr="008B0A1E">
        <w:rPr>
          <w:rFonts w:ascii="Times New Roman" w:hAnsi="Times New Roman"/>
        </w:rPr>
        <w:t>emerged in the area of consulting</w:t>
      </w:r>
      <w:r>
        <w:rPr>
          <w:rFonts w:ascii="Times New Roman" w:hAnsi="Times New Roman"/>
        </w:rPr>
        <w:t xml:space="preserve"> in general</w:t>
      </w:r>
      <w:r w:rsidR="00A01348" w:rsidRPr="008B0A1E">
        <w:rPr>
          <w:rFonts w:ascii="Times New Roman" w:hAnsi="Times New Roman"/>
        </w:rPr>
        <w:t xml:space="preserve"> </w:t>
      </w:r>
      <w:r>
        <w:rPr>
          <w:rFonts w:ascii="Times New Roman" w:hAnsi="Times New Roman"/>
        </w:rPr>
        <w:t xml:space="preserve">in recent years </w:t>
      </w:r>
      <w:r>
        <w:rPr>
          <w:rFonts w:ascii="Times New Roman" w:hAnsi="Times New Roman" w:cs="Times New Roman"/>
          <w:noProof/>
        </w:rPr>
        <w:t>has been</w:t>
      </w:r>
      <w:r w:rsidR="007117EA">
        <w:rPr>
          <w:rFonts w:ascii="Times New Roman" w:hAnsi="Times New Roman" w:cs="Times New Roman"/>
          <w:noProof/>
        </w:rPr>
        <w:t xml:space="preserve"> related to the </w:t>
      </w:r>
      <w:r w:rsidR="00416BF4">
        <w:rPr>
          <w:rFonts w:ascii="Times New Roman" w:hAnsi="Times New Roman" w:cs="Times New Roman"/>
          <w:noProof/>
        </w:rPr>
        <w:t xml:space="preserve">attempt at securing </w:t>
      </w:r>
      <w:r>
        <w:rPr>
          <w:rFonts w:ascii="Times New Roman" w:hAnsi="Times New Roman" w:cs="Times New Roman"/>
          <w:noProof/>
        </w:rPr>
        <w:t xml:space="preserve">enhanced </w:t>
      </w:r>
      <w:r w:rsidR="00416BF4">
        <w:rPr>
          <w:rFonts w:ascii="Times New Roman" w:hAnsi="Times New Roman" w:cs="Times New Roman"/>
          <w:noProof/>
        </w:rPr>
        <w:t xml:space="preserve">accountability </w:t>
      </w:r>
      <w:r>
        <w:rPr>
          <w:rFonts w:ascii="Times New Roman" w:hAnsi="Times New Roman" w:cs="Times New Roman"/>
          <w:noProof/>
        </w:rPr>
        <w:t>especially in financial and budgetary matters, and has not dealt adequately with other issues such as the impact of increased external consulting on the range and quality of advice and services provided to government</w:t>
      </w:r>
      <w:r w:rsidR="008F22ED">
        <w:rPr>
          <w:rFonts w:ascii="Times New Roman" w:hAnsi="Times New Roman" w:cs="Times New Roman"/>
          <w:noProof/>
        </w:rPr>
        <w:t xml:space="preserve"> (Kim and Brown 2012).</w:t>
      </w:r>
      <w:r w:rsidR="0092566F">
        <w:rPr>
          <w:rFonts w:ascii="Times New Roman" w:hAnsi="Times New Roman" w:cs="Times New Roman"/>
          <w:noProof/>
        </w:rPr>
        <w:t xml:space="preserve"> </w:t>
      </w:r>
      <w:r w:rsidR="00662E73">
        <w:rPr>
          <w:rFonts w:ascii="Times New Roman" w:hAnsi="Times New Roman" w:cs="Times New Roman"/>
          <w:noProof/>
        </w:rPr>
        <w:t xml:space="preserve">We argue that </w:t>
      </w:r>
      <w:r>
        <w:rPr>
          <w:rFonts w:ascii="Times New Roman" w:hAnsi="Times New Roman" w:cs="Times New Roman"/>
          <w:noProof/>
        </w:rPr>
        <w:t>this narrow focus on financial and budgetary issues surrounding</w:t>
      </w:r>
      <w:r w:rsidR="00662E73">
        <w:rPr>
          <w:rFonts w:ascii="Times New Roman" w:hAnsi="Times New Roman" w:cs="Times New Roman"/>
          <w:noProof/>
        </w:rPr>
        <w:t xml:space="preserve"> </w:t>
      </w:r>
      <w:r>
        <w:rPr>
          <w:rFonts w:ascii="Times New Roman" w:hAnsi="Times New Roman" w:cs="Times New Roman"/>
          <w:noProof/>
        </w:rPr>
        <w:t xml:space="preserve">recent developments such as </w:t>
      </w:r>
      <w:r w:rsidR="00662E73">
        <w:rPr>
          <w:rFonts w:ascii="Times New Roman" w:hAnsi="Times New Roman" w:cs="Times New Roman"/>
          <w:noProof/>
        </w:rPr>
        <w:t>value-for-money</w:t>
      </w:r>
      <w:r>
        <w:rPr>
          <w:rFonts w:ascii="Times New Roman" w:hAnsi="Times New Roman" w:cs="Times New Roman"/>
          <w:noProof/>
        </w:rPr>
        <w:t xml:space="preserve"> accounting</w:t>
      </w:r>
      <w:r w:rsidR="00662E73">
        <w:rPr>
          <w:rFonts w:ascii="Times New Roman" w:hAnsi="Times New Roman" w:cs="Times New Roman"/>
          <w:noProof/>
        </w:rPr>
        <w:t xml:space="preserve"> outsourcing, and </w:t>
      </w:r>
      <w:r>
        <w:rPr>
          <w:rFonts w:ascii="Times New Roman" w:hAnsi="Times New Roman" w:cs="Times New Roman"/>
          <w:noProof/>
        </w:rPr>
        <w:t>the use of temporary workers</w:t>
      </w:r>
      <w:r w:rsidR="00662E73">
        <w:rPr>
          <w:rFonts w:ascii="Times New Roman" w:hAnsi="Times New Roman" w:cs="Times New Roman"/>
          <w:noProof/>
        </w:rPr>
        <w:t xml:space="preserve"> </w:t>
      </w:r>
      <w:r>
        <w:rPr>
          <w:rFonts w:ascii="Times New Roman" w:hAnsi="Times New Roman" w:cs="Times New Roman"/>
          <w:noProof/>
        </w:rPr>
        <w:t xml:space="preserve">has missed many important dimensions of this kind of contracting behaviour, aspects which continue to occur even when contracting processes otherwise meet the </w:t>
      </w:r>
      <w:r w:rsidR="005C2F00">
        <w:rPr>
          <w:rFonts w:ascii="Times New Roman" w:hAnsi="Times New Roman" w:cs="Times New Roman"/>
          <w:noProof/>
        </w:rPr>
        <w:t xml:space="preserve">requirements of </w:t>
      </w:r>
      <w:r w:rsidR="00315B71">
        <w:rPr>
          <w:rFonts w:ascii="Times New Roman" w:hAnsi="Times New Roman" w:cs="Times New Roman"/>
          <w:noProof/>
        </w:rPr>
        <w:t xml:space="preserve">public governance best practices </w:t>
      </w:r>
      <w:r>
        <w:rPr>
          <w:rFonts w:ascii="Times New Roman" w:hAnsi="Times New Roman" w:cs="Times New Roman"/>
          <w:noProof/>
        </w:rPr>
        <w:t xml:space="preserve">such as </w:t>
      </w:r>
      <w:r w:rsidR="00315B71">
        <w:rPr>
          <w:rFonts w:ascii="Times New Roman" w:hAnsi="Times New Roman" w:cs="Times New Roman"/>
          <w:noProof/>
        </w:rPr>
        <w:t>openness, accountability, and participation</w:t>
      </w:r>
      <w:r>
        <w:rPr>
          <w:rFonts w:ascii="Times New Roman" w:hAnsi="Times New Roman" w:cs="Times New Roman"/>
          <w:noProof/>
        </w:rPr>
        <w:t>.</w:t>
      </w:r>
      <w:r w:rsidR="00315B71">
        <w:rPr>
          <w:rFonts w:ascii="Times New Roman" w:hAnsi="Times New Roman" w:cs="Times New Roman"/>
          <w:noProof/>
        </w:rPr>
        <w:t xml:space="preserve"> </w:t>
      </w:r>
    </w:p>
    <w:p w14:paraId="2A8D3212" w14:textId="77777777" w:rsidR="008F22ED" w:rsidRDefault="00A36C10" w:rsidP="00B70C93">
      <w:pPr>
        <w:spacing w:line="480" w:lineRule="auto"/>
        <w:ind w:firstLine="720"/>
        <w:jc w:val="both"/>
        <w:rPr>
          <w:rFonts w:ascii="Times New Roman" w:hAnsi="Times New Roman" w:cs="Times New Roman"/>
        </w:rPr>
      </w:pPr>
      <w:r>
        <w:rPr>
          <w:rFonts w:ascii="Times New Roman" w:hAnsi="Times New Roman"/>
        </w:rPr>
        <w:t xml:space="preserve">The use of consultants began to emerge on a large scale in the early 1990s (Hood and Jackson 1991; Greer 1994; Savoie 2004; Raudla 2013; </w:t>
      </w:r>
      <w:r>
        <w:rPr>
          <w:rFonts w:ascii="Times New Roman" w:hAnsi="Times New Roman" w:cs="Times New Roman"/>
          <w:szCs w:val="20"/>
        </w:rPr>
        <w:t xml:space="preserve">Pollitt </w:t>
      </w:r>
      <w:r w:rsidRPr="00DC2516">
        <w:rPr>
          <w:rFonts w:ascii="Times New Roman" w:hAnsi="Times New Roman" w:cs="Times New Roman"/>
          <w:szCs w:val="20"/>
        </w:rPr>
        <w:t>and Bouckaert</w:t>
      </w:r>
      <w:r>
        <w:rPr>
          <w:rFonts w:ascii="Times New Roman" w:hAnsi="Times New Roman" w:cs="Times New Roman"/>
          <w:szCs w:val="20"/>
        </w:rPr>
        <w:t xml:space="preserve"> 2011</w:t>
      </w:r>
      <w:r>
        <w:rPr>
          <w:rFonts w:ascii="Times New Roman" w:hAnsi="Times New Roman"/>
        </w:rPr>
        <w:t xml:space="preserve">). </w:t>
      </w:r>
      <w:r w:rsidR="0083539B">
        <w:rPr>
          <w:rFonts w:ascii="Times New Roman" w:hAnsi="Times New Roman" w:cs="Times New Roman"/>
          <w:noProof/>
        </w:rPr>
        <w:t>T</w:t>
      </w:r>
      <w:r w:rsidR="00315B71">
        <w:rPr>
          <w:rFonts w:ascii="Times New Roman" w:hAnsi="Times New Roman" w:cs="Times New Roman"/>
          <w:noProof/>
        </w:rPr>
        <w:t xml:space="preserve">he main focus </w:t>
      </w:r>
      <w:r w:rsidR="0083539B">
        <w:rPr>
          <w:rFonts w:ascii="Times New Roman" w:hAnsi="Times New Roman" w:cs="Times New Roman"/>
          <w:noProof/>
        </w:rPr>
        <w:t xml:space="preserve">of most studies of contracting and consulting in government generally have been aimed at </w:t>
      </w:r>
      <w:r w:rsidR="00315B71">
        <w:rPr>
          <w:rFonts w:ascii="Times New Roman" w:hAnsi="Times New Roman" w:cs="Times New Roman"/>
          <w:noProof/>
        </w:rPr>
        <w:t>combating over-expenditures, contract creep and financial waste in general</w:t>
      </w:r>
      <w:r w:rsidR="0083539B">
        <w:rPr>
          <w:rFonts w:ascii="Times New Roman" w:hAnsi="Times New Roman" w:cs="Times New Roman"/>
          <w:noProof/>
        </w:rPr>
        <w:t xml:space="preserve"> </w:t>
      </w:r>
      <w:r w:rsidR="0083539B" w:rsidRPr="008B0A1E">
        <w:rPr>
          <w:rFonts w:ascii="Times New Roman" w:hAnsi="Times New Roman" w:cs="Times New Roman"/>
        </w:rPr>
        <w:t>(</w:t>
      </w:r>
      <w:r w:rsidR="00D454BD" w:rsidRPr="008B0A1E">
        <w:rPr>
          <w:rFonts w:ascii="Times New Roman" w:hAnsi="Times New Roman" w:cs="Times New Roman"/>
        </w:rPr>
        <w:fldChar w:fldCharType="begin"/>
      </w:r>
      <w:r w:rsidR="0083539B" w:rsidRPr="008B0A1E">
        <w:rPr>
          <w:rFonts w:ascii="Times New Roman" w:hAnsi="Times New Roman" w:cs="Times New Roman"/>
        </w:rPr>
        <w:instrText xml:space="preserve"> ADDIN ZOTERO_ITEM {"citationID":"l0cjrunsg","citationItems":[{"label":"page","uri":["http://zotero.org/groups/49554/items/DSGUW2WA"]},{"label":"page","uri":["http://zotero.org/groups/49554/items/56BU8FE5"]}]} </w:instrText>
      </w:r>
      <w:r w:rsidR="00D454BD" w:rsidRPr="008B0A1E">
        <w:rPr>
          <w:rFonts w:ascii="Times New Roman" w:hAnsi="Times New Roman" w:cs="Times New Roman"/>
        </w:rPr>
        <w:fldChar w:fldCharType="separate"/>
      </w:r>
      <w:r w:rsidR="0083539B" w:rsidRPr="008B0A1E">
        <w:rPr>
          <w:rFonts w:ascii="Times New Roman" w:hAnsi="Times New Roman" w:cs="Times New Roman"/>
          <w:noProof/>
        </w:rPr>
        <w:t xml:space="preserve">ANAO 2001; House of Commons Committee of Public Accounts 2010; </w:t>
      </w:r>
      <w:r w:rsidR="00D454BD" w:rsidRPr="008B0A1E">
        <w:rPr>
          <w:rFonts w:ascii="Times New Roman" w:hAnsi="Times New Roman" w:cs="Times New Roman"/>
          <w:noProof/>
        </w:rPr>
        <w:fldChar w:fldCharType="end"/>
      </w:r>
      <w:r w:rsidR="0083539B" w:rsidRPr="008B0A1E">
        <w:rPr>
          <w:rFonts w:ascii="Times New Roman" w:hAnsi="Times New Roman" w:cs="Times New Roman"/>
          <w:noProof/>
        </w:rPr>
        <w:t>Bakvis 1997; MacDonald 2011; Project on Government Oversight 2011</w:t>
      </w:r>
      <w:r w:rsidR="0083539B">
        <w:rPr>
          <w:rFonts w:ascii="Times New Roman" w:hAnsi="Times New Roman" w:cs="Times New Roman"/>
          <w:noProof/>
        </w:rPr>
        <w:t>; Howlett and Migone 2013a</w:t>
      </w:r>
      <w:r w:rsidR="0083539B" w:rsidRPr="008B0A1E">
        <w:rPr>
          <w:rFonts w:ascii="Times New Roman" w:hAnsi="Times New Roman" w:cs="Times New Roman"/>
          <w:noProof/>
        </w:rPr>
        <w:t>)</w:t>
      </w:r>
      <w:r w:rsidR="008B0A1E" w:rsidRPr="008B0A1E">
        <w:rPr>
          <w:rFonts w:ascii="Times New Roman" w:hAnsi="Times New Roman" w:cs="Times New Roman"/>
        </w:rPr>
        <w:t>.</w:t>
      </w:r>
      <w:r w:rsidR="00315B71">
        <w:rPr>
          <w:rFonts w:ascii="Times New Roman" w:hAnsi="Times New Roman" w:cs="Times New Roman"/>
        </w:rPr>
        <w:t xml:space="preserve"> </w:t>
      </w:r>
      <w:r w:rsidR="008F22ED">
        <w:rPr>
          <w:rFonts w:ascii="Times New Roman" w:hAnsi="Times New Roman" w:cs="Times New Roman"/>
        </w:rPr>
        <w:t>Only a very few move beyond this concern to examine larger issues such as the impact of these developments on the nature and content of policy advice or the quality of services provided (</w:t>
      </w:r>
      <w:r w:rsidR="008F22ED">
        <w:rPr>
          <w:rFonts w:ascii="Times New Roman" w:hAnsi="Times New Roman" w:cs="Times New Roman"/>
          <w:noProof/>
        </w:rPr>
        <w:t xml:space="preserve">McKeown and Lindorff 2011; Streb and Trep 2012). </w:t>
      </w:r>
      <w:r w:rsidR="00315B71">
        <w:rPr>
          <w:rFonts w:ascii="Times New Roman" w:hAnsi="Times New Roman" w:cs="Times New Roman"/>
        </w:rPr>
        <w:t xml:space="preserve">However, the findings of our </w:t>
      </w:r>
      <w:r w:rsidR="008F22ED">
        <w:rPr>
          <w:rFonts w:ascii="Times New Roman" w:hAnsi="Times New Roman" w:cs="Times New Roman"/>
        </w:rPr>
        <w:t xml:space="preserve">2012-13 </w:t>
      </w:r>
      <w:r w:rsidR="00315B71">
        <w:rPr>
          <w:rFonts w:ascii="Times New Roman" w:hAnsi="Times New Roman" w:cs="Times New Roman"/>
        </w:rPr>
        <w:t>survey</w:t>
      </w:r>
      <w:r w:rsidR="0048369C">
        <w:rPr>
          <w:rFonts w:ascii="Times New Roman" w:hAnsi="Times New Roman" w:cs="Times New Roman"/>
        </w:rPr>
        <w:t xml:space="preserve"> of approximately 160</w:t>
      </w:r>
      <w:r w:rsidR="008F22ED">
        <w:rPr>
          <w:rFonts w:ascii="Times New Roman" w:hAnsi="Times New Roman" w:cs="Times New Roman"/>
        </w:rPr>
        <w:t xml:space="preserve"> Canadian federal government policy managers</w:t>
      </w:r>
      <w:r w:rsidR="00315B71">
        <w:rPr>
          <w:rFonts w:ascii="Times New Roman" w:hAnsi="Times New Roman" w:cs="Times New Roman"/>
        </w:rPr>
        <w:t xml:space="preserve"> indicate that</w:t>
      </w:r>
      <w:r w:rsidR="008F22ED">
        <w:rPr>
          <w:rFonts w:ascii="Times New Roman" w:hAnsi="Times New Roman" w:cs="Times New Roman"/>
        </w:rPr>
        <w:t xml:space="preserve"> financial and budgetary issues related to contract oversight provisions </w:t>
      </w:r>
      <w:r w:rsidR="00315B71">
        <w:rPr>
          <w:rFonts w:ascii="Times New Roman" w:hAnsi="Times New Roman" w:cs="Times New Roman"/>
        </w:rPr>
        <w:t xml:space="preserve">represent only </w:t>
      </w:r>
      <w:r w:rsidR="008F22ED">
        <w:rPr>
          <w:rFonts w:ascii="Times New Roman" w:hAnsi="Times New Roman" w:cs="Times New Roman"/>
        </w:rPr>
        <w:t xml:space="preserve">a small </w:t>
      </w:r>
      <w:r w:rsidR="00315B71">
        <w:rPr>
          <w:rFonts w:ascii="Times New Roman" w:hAnsi="Times New Roman" w:cs="Times New Roman"/>
        </w:rPr>
        <w:t xml:space="preserve">part of </w:t>
      </w:r>
      <w:r w:rsidR="008F22ED">
        <w:rPr>
          <w:rFonts w:ascii="Times New Roman" w:hAnsi="Times New Roman" w:cs="Times New Roman"/>
        </w:rPr>
        <w:t xml:space="preserve">the managerial </w:t>
      </w:r>
      <w:r w:rsidR="00315B71">
        <w:rPr>
          <w:rFonts w:ascii="Times New Roman" w:hAnsi="Times New Roman" w:cs="Times New Roman"/>
        </w:rPr>
        <w:t>problem</w:t>
      </w:r>
      <w:r w:rsidR="008F22ED">
        <w:rPr>
          <w:rFonts w:ascii="Times New Roman" w:hAnsi="Times New Roman" w:cs="Times New Roman"/>
        </w:rPr>
        <w:t>s</w:t>
      </w:r>
      <w:r w:rsidR="00315B71">
        <w:rPr>
          <w:rFonts w:ascii="Times New Roman" w:hAnsi="Times New Roman" w:cs="Times New Roman"/>
        </w:rPr>
        <w:t xml:space="preserve"> </w:t>
      </w:r>
      <w:r w:rsidR="008F22ED">
        <w:rPr>
          <w:rFonts w:ascii="Times New Roman" w:hAnsi="Times New Roman" w:cs="Times New Roman"/>
        </w:rPr>
        <w:t>encountered in consultancy work in this area, with</w:t>
      </w:r>
      <w:r w:rsidR="00315B71">
        <w:rPr>
          <w:rFonts w:ascii="Times New Roman" w:hAnsi="Times New Roman" w:cs="Times New Roman"/>
        </w:rPr>
        <w:t xml:space="preserve"> </w:t>
      </w:r>
      <w:r w:rsidR="00FD30CC">
        <w:rPr>
          <w:rFonts w:ascii="Times New Roman" w:hAnsi="Times New Roman" w:cs="Times New Roman"/>
        </w:rPr>
        <w:t>large inefficiencies being generated by a generalized lack of shared data and knowledge</w:t>
      </w:r>
      <w:r w:rsidR="008F22ED">
        <w:rPr>
          <w:rFonts w:ascii="Times New Roman" w:hAnsi="Times New Roman" w:cs="Times New Roman"/>
        </w:rPr>
        <w:t>, or policy learning,</w:t>
      </w:r>
      <w:r w:rsidR="00FD30CC">
        <w:rPr>
          <w:rFonts w:ascii="Times New Roman" w:hAnsi="Times New Roman" w:cs="Times New Roman"/>
        </w:rPr>
        <w:t xml:space="preserve"> gained through the employment of external consultants</w:t>
      </w:r>
      <w:r w:rsidR="008F22ED">
        <w:rPr>
          <w:rFonts w:ascii="Times New Roman" w:hAnsi="Times New Roman" w:cs="Times New Roman"/>
        </w:rPr>
        <w:t xml:space="preserve"> (Bennett and Howlett 1992; Huber 1991).</w:t>
      </w:r>
    </w:p>
    <w:p w14:paraId="05C6A3BA" w14:textId="77777777" w:rsidR="00B70C93" w:rsidRDefault="00B70C93" w:rsidP="00B70C93">
      <w:pPr>
        <w:ind w:firstLine="720"/>
        <w:jc w:val="both"/>
        <w:rPr>
          <w:rFonts w:ascii="Times New Roman" w:hAnsi="Times New Roman" w:cs="Times New Roman"/>
        </w:rPr>
      </w:pPr>
    </w:p>
    <w:p w14:paraId="3083B91D" w14:textId="77777777" w:rsidR="008F22ED" w:rsidRPr="00164415" w:rsidRDefault="008F22ED" w:rsidP="008F22ED">
      <w:pPr>
        <w:spacing w:line="480" w:lineRule="auto"/>
        <w:jc w:val="both"/>
        <w:rPr>
          <w:rFonts w:ascii="Times New Roman" w:hAnsi="Times New Roman" w:cs="Times New Roman"/>
          <w:b/>
          <w:noProof/>
        </w:rPr>
      </w:pPr>
      <w:r w:rsidRPr="00164415">
        <w:rPr>
          <w:rFonts w:ascii="Times New Roman" w:hAnsi="Times New Roman" w:cs="Times New Roman"/>
          <w:b/>
        </w:rPr>
        <w:t>Background</w:t>
      </w:r>
    </w:p>
    <w:p w14:paraId="48615D42" w14:textId="77777777" w:rsidR="00CF01CA" w:rsidRPr="00DE6B17" w:rsidRDefault="00CF01CA" w:rsidP="00CF01CA">
      <w:pPr>
        <w:spacing w:line="480" w:lineRule="auto"/>
        <w:ind w:firstLine="720"/>
        <w:jc w:val="both"/>
        <w:rPr>
          <w:rFonts w:ascii="Times New Roman" w:hAnsi="Times New Roman"/>
        </w:rPr>
      </w:pPr>
      <w:r>
        <w:rPr>
          <w:rFonts w:ascii="Times New Roman" w:hAnsi="Times New Roman"/>
        </w:rPr>
        <w:t xml:space="preserve">The rise of consulting in government is not new and the literature has offered a variety of potential explanations to this phenomenon. </w:t>
      </w:r>
      <w:r>
        <w:rPr>
          <w:rFonts w:ascii="Times New Roman" w:hAnsi="Times New Roman" w:cs="Times New Roman"/>
        </w:rPr>
        <w:t xml:space="preserve">Saint Martin (2005: 671) reminded us that </w:t>
      </w:r>
    </w:p>
    <w:p w14:paraId="5A439101" w14:textId="77777777" w:rsidR="00CF01CA" w:rsidRPr="00B70C93" w:rsidRDefault="00CF01CA" w:rsidP="00B70C93">
      <w:pPr>
        <w:ind w:left="709"/>
        <w:jc w:val="both"/>
        <w:rPr>
          <w:rFonts w:ascii="Times New Roman" w:hAnsi="Times New Roman" w:cs="Times New Roman"/>
          <w:i/>
        </w:rPr>
      </w:pPr>
      <w:r w:rsidRPr="00DE6B17">
        <w:rPr>
          <w:rFonts w:ascii="Times New Roman" w:hAnsi="Times New Roman" w:cs="Times New Roman"/>
          <w:i/>
        </w:rPr>
        <w:t>Some have written about the ‘new cult of the management consultant’ in government and have described consultants and ‘intellectual mercenaries’ as ‘hired guns’ that ‘politicians can use to bypass reluctant civil servants, while others have coined the term ‘consultocracy’ to underline the growing influence of consultants an the public management process.</w:t>
      </w:r>
    </w:p>
    <w:p w14:paraId="6D1EC002" w14:textId="77777777" w:rsidR="007640EE" w:rsidRDefault="00B70C93" w:rsidP="00CF01CA">
      <w:pPr>
        <w:spacing w:line="480" w:lineRule="auto"/>
        <w:ind w:firstLine="709"/>
        <w:jc w:val="both"/>
        <w:rPr>
          <w:rFonts w:ascii="Times New Roman" w:hAnsi="Times New Roman"/>
        </w:rPr>
      </w:pPr>
      <w:r>
        <w:rPr>
          <w:rFonts w:ascii="Times New Roman" w:hAnsi="Times New Roman"/>
        </w:rPr>
        <w:t>Experts are</w:t>
      </w:r>
      <w:r w:rsidR="00CF01CA">
        <w:rPr>
          <w:rFonts w:ascii="Times New Roman" w:hAnsi="Times New Roman"/>
        </w:rPr>
        <w:t xml:space="preserve"> divided </w:t>
      </w:r>
      <w:r>
        <w:rPr>
          <w:rFonts w:ascii="Times New Roman" w:hAnsi="Times New Roman"/>
        </w:rPr>
        <w:t xml:space="preserve">about </w:t>
      </w:r>
      <w:r w:rsidR="00CF01CA">
        <w:rPr>
          <w:rFonts w:ascii="Times New Roman" w:hAnsi="Times New Roman"/>
        </w:rPr>
        <w:t>what exactly consultants do (Tisdall 1982)</w:t>
      </w:r>
      <w:r w:rsidR="007640EE">
        <w:rPr>
          <w:rFonts w:ascii="Times New Roman" w:hAnsi="Times New Roman"/>
        </w:rPr>
        <w:t>,</w:t>
      </w:r>
      <w:r w:rsidR="00CF01CA">
        <w:rPr>
          <w:rFonts w:ascii="Times New Roman" w:hAnsi="Times New Roman"/>
        </w:rPr>
        <w:t xml:space="preserve"> on why consultants are hired by government</w:t>
      </w:r>
      <w:r w:rsidR="007640EE">
        <w:rPr>
          <w:rFonts w:ascii="Times New Roman" w:hAnsi="Times New Roman"/>
        </w:rPr>
        <w:t>,</w:t>
      </w:r>
      <w:r w:rsidR="00CF01CA">
        <w:rPr>
          <w:rFonts w:ascii="Times New Roman" w:hAnsi="Times New Roman"/>
        </w:rPr>
        <w:t xml:space="preserve"> and on the actual scope and depth of their impact on the workings of the public administration (Brint 1990; </w:t>
      </w:r>
      <w:r w:rsidR="00CF01CA">
        <w:rPr>
          <w:rFonts w:ascii="Times New Roman" w:eastAsia="Times New Roman" w:hAnsi="Times New Roman" w:cs="Times New Roman"/>
        </w:rPr>
        <w:t xml:space="preserve">Ernst and Kieser 2002; </w:t>
      </w:r>
      <w:r w:rsidR="00CF01CA">
        <w:rPr>
          <w:rFonts w:ascii="Times New Roman" w:hAnsi="Times New Roman"/>
        </w:rPr>
        <w:t>Page and Jenkins 2005; Pag</w:t>
      </w:r>
      <w:r>
        <w:rPr>
          <w:rFonts w:ascii="Times New Roman" w:hAnsi="Times New Roman"/>
        </w:rPr>
        <w:t>e 2010; Radcliffe 2010).</w:t>
      </w:r>
      <w:r>
        <w:rPr>
          <w:rStyle w:val="EndnoteReference"/>
          <w:rFonts w:ascii="Times New Roman" w:hAnsi="Times New Roman"/>
        </w:rPr>
        <w:endnoteReference w:id="1"/>
      </w:r>
      <w:r>
        <w:rPr>
          <w:rFonts w:ascii="Times New Roman" w:hAnsi="Times New Roman"/>
        </w:rPr>
        <w:t xml:space="preserve"> </w:t>
      </w:r>
      <w:r w:rsidR="007640EE">
        <w:rPr>
          <w:rFonts w:ascii="Times New Roman" w:hAnsi="Times New Roman"/>
        </w:rPr>
        <w:t>These differences depend at least in part on the amount of attention focussed on t</w:t>
      </w:r>
      <w:r w:rsidR="00CF01CA">
        <w:rPr>
          <w:rFonts w:ascii="Times New Roman" w:hAnsi="Times New Roman"/>
        </w:rPr>
        <w:t xml:space="preserve">he very </w:t>
      </w:r>
      <w:r w:rsidR="007640EE">
        <w:rPr>
          <w:rFonts w:ascii="Times New Roman" w:hAnsi="Times New Roman"/>
        </w:rPr>
        <w:t xml:space="preserve">different </w:t>
      </w:r>
      <w:r w:rsidR="00CF01CA">
        <w:rPr>
          <w:rFonts w:ascii="Times New Roman" w:hAnsi="Times New Roman"/>
        </w:rPr>
        <w:t>use</w:t>
      </w:r>
      <w:r w:rsidR="007640EE">
        <w:rPr>
          <w:rFonts w:ascii="Times New Roman" w:hAnsi="Times New Roman"/>
        </w:rPr>
        <w:t>s</w:t>
      </w:r>
      <w:r w:rsidR="00CF01CA">
        <w:rPr>
          <w:rFonts w:ascii="Times New Roman" w:hAnsi="Times New Roman"/>
        </w:rPr>
        <w:t xml:space="preserve"> that governments have made of these consultants in the past decades. </w:t>
      </w:r>
    </w:p>
    <w:p w14:paraId="4FB8F51A" w14:textId="77777777" w:rsidR="00CF01CA" w:rsidRDefault="00CF01CA" w:rsidP="007640EE">
      <w:pPr>
        <w:spacing w:line="480" w:lineRule="auto"/>
        <w:ind w:firstLine="709"/>
        <w:jc w:val="both"/>
        <w:rPr>
          <w:rFonts w:ascii="Times New Roman" w:hAnsi="Times New Roman"/>
        </w:rPr>
      </w:pPr>
      <w:r>
        <w:rPr>
          <w:rFonts w:ascii="Times New Roman" w:hAnsi="Times New Roman"/>
        </w:rPr>
        <w:t>Since the notion of steering versus rowing became firmly embedded in the process of New Public Management</w:t>
      </w:r>
      <w:r w:rsidR="007640EE">
        <w:rPr>
          <w:rFonts w:ascii="Times New Roman" w:hAnsi="Times New Roman"/>
        </w:rPr>
        <w:t>, for example,</w:t>
      </w:r>
      <w:r>
        <w:rPr>
          <w:rFonts w:ascii="Times New Roman" w:hAnsi="Times New Roman"/>
        </w:rPr>
        <w:t xml:space="preserve"> the process of outsourcing all sorts of services and good purchases has become a key part of government life. However, the very broad set of demands that outsourcing fulfill</w:t>
      </w:r>
      <w:r w:rsidR="00C902F6">
        <w:rPr>
          <w:rFonts w:ascii="Times New Roman" w:hAnsi="Times New Roman"/>
        </w:rPr>
        <w:t>s</w:t>
      </w:r>
      <w:r>
        <w:rPr>
          <w:rFonts w:ascii="Times New Roman" w:hAnsi="Times New Roman"/>
        </w:rPr>
        <w:t xml:space="preserve"> also reduces the capacity of offering unified answers to the reasons </w:t>
      </w:r>
      <w:r w:rsidR="00C902F6">
        <w:rPr>
          <w:rFonts w:ascii="Times New Roman" w:hAnsi="Times New Roman"/>
        </w:rPr>
        <w:t>why</w:t>
      </w:r>
      <w:r>
        <w:rPr>
          <w:rFonts w:ascii="Times New Roman" w:hAnsi="Times New Roman"/>
        </w:rPr>
        <w:t xml:space="preserve"> ‘outside help’ </w:t>
      </w:r>
      <w:r w:rsidR="00C902F6">
        <w:rPr>
          <w:rFonts w:ascii="Times New Roman" w:hAnsi="Times New Roman"/>
        </w:rPr>
        <w:t>is retained by</w:t>
      </w:r>
      <w:r>
        <w:rPr>
          <w:rFonts w:ascii="Times New Roman" w:hAnsi="Times New Roman"/>
        </w:rPr>
        <w:t xml:space="preserve"> government</w:t>
      </w:r>
      <w:r w:rsidR="00C902F6">
        <w:rPr>
          <w:rFonts w:ascii="Times New Roman" w:hAnsi="Times New Roman"/>
        </w:rPr>
        <w:t>s</w:t>
      </w:r>
      <w:r>
        <w:rPr>
          <w:rFonts w:ascii="Times New Roman" w:hAnsi="Times New Roman"/>
        </w:rPr>
        <w:t>. In some cases, as with garbage collection or food services, the answer lies most likely in efficiency and cost gains</w:t>
      </w:r>
      <w:r w:rsidR="00C902F6">
        <w:rPr>
          <w:rFonts w:ascii="Times New Roman" w:hAnsi="Times New Roman"/>
        </w:rPr>
        <w:t xml:space="preserve"> from using workers and contractors not bound by civil service contracts and overhead provisions</w:t>
      </w:r>
      <w:r>
        <w:rPr>
          <w:rFonts w:ascii="Times New Roman" w:hAnsi="Times New Roman"/>
        </w:rPr>
        <w:t>. In other cases, as with policy advice it would be hard to argue that the private sector holds any great advantage in economies of scale or expertise in the area. Furthermore, outsourced resources may be hired for very short term or for longer periods of time</w:t>
      </w:r>
      <w:r w:rsidR="00F64F63">
        <w:rPr>
          <w:rFonts w:ascii="Times New Roman" w:hAnsi="Times New Roman"/>
        </w:rPr>
        <w:t xml:space="preserve">, again </w:t>
      </w:r>
      <w:r>
        <w:rPr>
          <w:rFonts w:ascii="Times New Roman" w:hAnsi="Times New Roman"/>
        </w:rPr>
        <w:t>making the field relatively fractured and complex and generally organized around a multi-phase</w:t>
      </w:r>
      <w:r w:rsidR="00F64F63">
        <w:rPr>
          <w:rFonts w:ascii="Times New Roman" w:hAnsi="Times New Roman"/>
        </w:rPr>
        <w:t>d</w:t>
      </w:r>
      <w:r>
        <w:rPr>
          <w:rFonts w:ascii="Times New Roman" w:hAnsi="Times New Roman"/>
        </w:rPr>
        <w:t xml:space="preserve"> activity </w:t>
      </w:r>
      <w:r w:rsidR="00F64F63">
        <w:rPr>
          <w:rFonts w:ascii="Times New Roman" w:hAnsi="Times New Roman"/>
        </w:rPr>
        <w:t xml:space="preserve">which can be difficult to track in government statistics </w:t>
      </w:r>
      <w:r>
        <w:rPr>
          <w:rFonts w:ascii="Times New Roman" w:hAnsi="Times New Roman"/>
        </w:rPr>
        <w:t xml:space="preserve">(Pattendaude 1979: 203-205). </w:t>
      </w:r>
      <w:r w:rsidR="00104316">
        <w:rPr>
          <w:rStyle w:val="EndnoteReference"/>
          <w:rFonts w:ascii="Times New Roman" w:hAnsi="Times New Roman"/>
        </w:rPr>
        <w:endnoteReference w:id="2"/>
      </w:r>
    </w:p>
    <w:p w14:paraId="059FC156" w14:textId="77777777" w:rsidR="0048369C" w:rsidRDefault="00CF01CA" w:rsidP="00CF01CA">
      <w:pPr>
        <w:spacing w:line="480" w:lineRule="auto"/>
        <w:ind w:firstLine="709"/>
        <w:jc w:val="both"/>
        <w:rPr>
          <w:rFonts w:ascii="Times New Roman" w:hAnsi="Times New Roman"/>
        </w:rPr>
      </w:pPr>
      <w:r>
        <w:rPr>
          <w:rFonts w:ascii="Times New Roman" w:hAnsi="Times New Roman"/>
        </w:rPr>
        <w:t xml:space="preserve">Of course the rise of </w:t>
      </w:r>
      <w:r w:rsidR="0048369C">
        <w:rPr>
          <w:rFonts w:ascii="Times New Roman" w:hAnsi="Times New Roman"/>
        </w:rPr>
        <w:t>the ‘</w:t>
      </w:r>
      <w:r>
        <w:rPr>
          <w:rFonts w:ascii="Times New Roman" w:hAnsi="Times New Roman"/>
        </w:rPr>
        <w:t>consultocracy</w:t>
      </w:r>
      <w:r w:rsidR="0048369C">
        <w:rPr>
          <w:rFonts w:ascii="Times New Roman" w:hAnsi="Times New Roman"/>
        </w:rPr>
        <w:t>’</w:t>
      </w:r>
      <w:r>
        <w:rPr>
          <w:rFonts w:ascii="Times New Roman" w:hAnsi="Times New Roman"/>
        </w:rPr>
        <w:t xml:space="preserve"> has at least two facets: one being a potential increase in the capacity of external sources to influence policy direction and a concomitant loss of policy capacity within the public service (Radcliffe 2010). The other, perhaps in part a result of the former, an increase in the budget share that these consultants appropriate for themselves. </w:t>
      </w:r>
    </w:p>
    <w:p w14:paraId="5CC8C061" w14:textId="77777777" w:rsidR="00CF01CA" w:rsidRDefault="00CF01CA" w:rsidP="00CA49E2">
      <w:pPr>
        <w:spacing w:line="480" w:lineRule="auto"/>
        <w:ind w:firstLine="709"/>
        <w:jc w:val="both"/>
        <w:rPr>
          <w:rFonts w:ascii="Times New Roman" w:hAnsi="Times New Roman"/>
        </w:rPr>
      </w:pPr>
      <w:r>
        <w:rPr>
          <w:rFonts w:ascii="Times New Roman" w:hAnsi="Times New Roman" w:cs="Times New Roman"/>
        </w:rPr>
        <w:t>Donald Savoie (2004) argues that the search for accountability found new challenges with the emergence of New Public Management and the expansion of the consulting function in government activity.</w:t>
      </w:r>
      <w:r>
        <w:rPr>
          <w:rFonts w:ascii="Times New Roman" w:hAnsi="Times New Roman"/>
        </w:rPr>
        <w:t xml:space="preserve"> The response from within governmental structures has been to devise methods to maintain patterns of accountability in the process. Accountability has been a long-term goal in any governmental unit but the broad application of the governance paradigm has increased the focus on accountability. However, this focus has not brought equally successful results to the various facets of </w:t>
      </w:r>
      <w:r w:rsidR="0048369C">
        <w:rPr>
          <w:rFonts w:ascii="Times New Roman" w:hAnsi="Times New Roman"/>
        </w:rPr>
        <w:t>consultant behaviour and contracting activity</w:t>
      </w:r>
      <w:r>
        <w:rPr>
          <w:rFonts w:ascii="Times New Roman" w:hAnsi="Times New Roman"/>
        </w:rPr>
        <w:t xml:space="preserve">. In particular we argue that the bias towards </w:t>
      </w:r>
      <w:r w:rsidR="0048369C">
        <w:rPr>
          <w:rFonts w:ascii="Times New Roman" w:hAnsi="Times New Roman"/>
        </w:rPr>
        <w:t>market actors</w:t>
      </w:r>
      <w:r>
        <w:rPr>
          <w:rFonts w:ascii="Times New Roman" w:hAnsi="Times New Roman"/>
        </w:rPr>
        <w:t xml:space="preserve"> that is typical of NPM overly stressed the accounting function and underplayed the more complex and less readily quantifiable processes of learni</w:t>
      </w:r>
      <w:r w:rsidR="0048369C">
        <w:rPr>
          <w:rFonts w:ascii="Times New Roman" w:hAnsi="Times New Roman"/>
        </w:rPr>
        <w:t>ng and non-financial efficiency which affect external policy conustant use in government.</w:t>
      </w:r>
    </w:p>
    <w:p w14:paraId="1C8935A9" w14:textId="77777777" w:rsidR="0048369C" w:rsidRDefault="00CF01CA" w:rsidP="00CF01CA">
      <w:pPr>
        <w:spacing w:line="480" w:lineRule="auto"/>
        <w:ind w:firstLine="720"/>
        <w:jc w:val="both"/>
        <w:rPr>
          <w:rFonts w:ascii="Times New Roman" w:hAnsi="Times New Roman"/>
        </w:rPr>
      </w:pPr>
      <w:r>
        <w:rPr>
          <w:rFonts w:ascii="Times New Roman" w:hAnsi="Times New Roman"/>
        </w:rPr>
        <w:t xml:space="preserve">It is not surprising that the immediate focus of internal accountability would be on the financial side. Besides the framing ‘bias’ engendered by New Public Management principles, the large amounts spent on consulting in general (FEACO 2011; Macdonald 2011; </w:t>
      </w:r>
      <w:r w:rsidRPr="008B0A1E">
        <w:rPr>
          <w:rFonts w:ascii="Times New Roman" w:hAnsi="Times New Roman" w:cs="Times New Roman"/>
          <w:noProof/>
        </w:rPr>
        <w:t>Project on Government Oversight 2011</w:t>
      </w:r>
      <w:r>
        <w:rPr>
          <w:rFonts w:ascii="Times New Roman" w:hAnsi="Times New Roman" w:cs="Times New Roman"/>
          <w:noProof/>
        </w:rPr>
        <w:t xml:space="preserve">) have been an important trigger for these analyses. However, while amounts spent on consulting are a relevant issue in analyzing the progress of consultocracy they do not tell the whole story. </w:t>
      </w:r>
      <w:r w:rsidRPr="00E03EFF">
        <w:rPr>
          <w:rFonts w:ascii="Times New Roman" w:hAnsi="Times New Roman"/>
        </w:rPr>
        <w:t xml:space="preserve">St. Martin </w:t>
      </w:r>
      <w:r>
        <w:rPr>
          <w:rFonts w:ascii="Times New Roman" w:hAnsi="Times New Roman"/>
        </w:rPr>
        <w:t>(</w:t>
      </w:r>
      <w:r w:rsidRPr="00E03EFF">
        <w:rPr>
          <w:rFonts w:ascii="Times New Roman" w:hAnsi="Times New Roman"/>
        </w:rPr>
        <w:t>1998:320</w:t>
      </w:r>
      <w:r>
        <w:rPr>
          <w:rFonts w:ascii="Times New Roman" w:hAnsi="Times New Roman"/>
        </w:rPr>
        <w:t>)</w:t>
      </w:r>
      <w:r w:rsidRPr="00E03EFF">
        <w:rPr>
          <w:rFonts w:ascii="Times New Roman" w:hAnsi="Times New Roman"/>
        </w:rPr>
        <w:t xml:space="preserve"> </w:t>
      </w:r>
      <w:r>
        <w:rPr>
          <w:rFonts w:ascii="Times New Roman" w:hAnsi="Times New Roman"/>
        </w:rPr>
        <w:t xml:space="preserve">correctly noted that </w:t>
      </w:r>
      <w:r w:rsidRPr="00E03EFF">
        <w:rPr>
          <w:rFonts w:ascii="Times New Roman" w:hAnsi="Times New Roman"/>
        </w:rPr>
        <w:t>“there is no direct and simple causal link between increased spe</w:t>
      </w:r>
      <w:r>
        <w:rPr>
          <w:rFonts w:ascii="Times New Roman" w:hAnsi="Times New Roman"/>
        </w:rPr>
        <w:t>nding and increased influence” of management consultants</w:t>
      </w:r>
      <w:r w:rsidRPr="00E03EFF">
        <w:rPr>
          <w:rFonts w:ascii="Times New Roman" w:hAnsi="Times New Roman"/>
        </w:rPr>
        <w:t>.</w:t>
      </w:r>
      <w:r>
        <w:rPr>
          <w:rFonts w:ascii="Times New Roman" w:hAnsi="Times New Roman"/>
        </w:rPr>
        <w:t xml:space="preserve"> </w:t>
      </w:r>
    </w:p>
    <w:p w14:paraId="56DC67DD" w14:textId="77777777" w:rsidR="00CF01CA" w:rsidRDefault="00CF01CA" w:rsidP="00FE6D60">
      <w:pPr>
        <w:spacing w:line="480" w:lineRule="auto"/>
        <w:ind w:firstLine="720"/>
        <w:jc w:val="both"/>
        <w:rPr>
          <w:rFonts w:ascii="Times New Roman" w:hAnsi="Times New Roman"/>
        </w:rPr>
      </w:pPr>
      <w:r>
        <w:rPr>
          <w:rFonts w:ascii="Times New Roman" w:hAnsi="Times New Roman"/>
        </w:rPr>
        <w:t xml:space="preserve">It should </w:t>
      </w:r>
      <w:r w:rsidR="0048369C">
        <w:rPr>
          <w:rFonts w:ascii="Times New Roman" w:hAnsi="Times New Roman"/>
        </w:rPr>
        <w:t xml:space="preserve">also </w:t>
      </w:r>
      <w:r>
        <w:rPr>
          <w:rFonts w:ascii="Times New Roman" w:hAnsi="Times New Roman"/>
        </w:rPr>
        <w:t xml:space="preserve">be recognized that the ‘lay of the land’ </w:t>
      </w:r>
      <w:r w:rsidR="0048369C">
        <w:rPr>
          <w:rFonts w:ascii="Times New Roman" w:hAnsi="Times New Roman"/>
        </w:rPr>
        <w:t xml:space="preserve">in terms of existing data and sources of data on policy consulting </w:t>
      </w:r>
      <w:r>
        <w:rPr>
          <w:rFonts w:ascii="Times New Roman" w:hAnsi="Times New Roman"/>
        </w:rPr>
        <w:t>also favors this approach. The nature of government databases favors the collection of accountin</w:t>
      </w:r>
      <w:r w:rsidR="0048369C">
        <w:rPr>
          <w:rFonts w:ascii="Times New Roman" w:hAnsi="Times New Roman"/>
        </w:rPr>
        <w:t xml:space="preserve">g-like data and makes it </w:t>
      </w:r>
      <w:r>
        <w:rPr>
          <w:rFonts w:ascii="Times New Roman" w:hAnsi="Times New Roman"/>
        </w:rPr>
        <w:t xml:space="preserve">complicated to assess any more qualitative facet of the consulting process unless survey instruments are employed as in this case. </w:t>
      </w:r>
      <w:r w:rsidR="0048369C">
        <w:rPr>
          <w:rFonts w:ascii="Times New Roman" w:hAnsi="Times New Roman"/>
        </w:rPr>
        <w:t>Utilizing new survey data into the Canadian case,</w:t>
      </w:r>
      <w:r>
        <w:rPr>
          <w:rFonts w:ascii="Times New Roman" w:hAnsi="Times New Roman"/>
        </w:rPr>
        <w:t xml:space="preserve"> we a</w:t>
      </w:r>
      <w:r w:rsidR="004552EF">
        <w:rPr>
          <w:rFonts w:ascii="Times New Roman" w:hAnsi="Times New Roman"/>
        </w:rPr>
        <w:t>rgue that much is missed by older</w:t>
      </w:r>
      <w:r>
        <w:rPr>
          <w:rFonts w:ascii="Times New Roman" w:hAnsi="Times New Roman"/>
        </w:rPr>
        <w:t xml:space="preserve"> monotonic approach</w:t>
      </w:r>
      <w:r w:rsidR="004552EF">
        <w:rPr>
          <w:rFonts w:ascii="Times New Roman" w:hAnsi="Times New Roman"/>
        </w:rPr>
        <w:t>es</w:t>
      </w:r>
      <w:r>
        <w:rPr>
          <w:rFonts w:ascii="Times New Roman" w:hAnsi="Times New Roman"/>
        </w:rPr>
        <w:t xml:space="preserve"> and that, while containment of expenses and value-for-money are indeed important goals for government outsourcing practices, in the area of policy consulting (and in general in complex, professional consulting) they are insufficient by themselves to provide a complete picture of consulting efficiency</w:t>
      </w:r>
      <w:r w:rsidR="004552EF">
        <w:rPr>
          <w:rFonts w:ascii="Times New Roman" w:hAnsi="Times New Roman"/>
        </w:rPr>
        <w:t xml:space="preserve"> and impact</w:t>
      </w:r>
      <w:r>
        <w:rPr>
          <w:rFonts w:ascii="Times New Roman" w:hAnsi="Times New Roman"/>
        </w:rPr>
        <w:t xml:space="preserve">. </w:t>
      </w:r>
    </w:p>
    <w:p w14:paraId="60897076" w14:textId="77777777" w:rsidR="00FE6D60" w:rsidRPr="00FE6D60" w:rsidRDefault="00FE6D60" w:rsidP="00FE6D60">
      <w:pPr>
        <w:ind w:firstLine="720"/>
        <w:jc w:val="both"/>
        <w:rPr>
          <w:rFonts w:ascii="Times New Roman" w:hAnsi="Times New Roman"/>
        </w:rPr>
      </w:pPr>
    </w:p>
    <w:p w14:paraId="13AC3D48" w14:textId="77777777" w:rsidR="00CF01CA" w:rsidRPr="00FE6D60" w:rsidRDefault="00FE6D60" w:rsidP="00CF01CA">
      <w:pPr>
        <w:spacing w:line="480" w:lineRule="auto"/>
        <w:jc w:val="both"/>
        <w:rPr>
          <w:rFonts w:ascii="Times New Roman" w:hAnsi="Times New Roman" w:cs="Times New Roman"/>
          <w:b/>
        </w:rPr>
      </w:pPr>
      <w:r w:rsidRPr="00FE6D60">
        <w:rPr>
          <w:rFonts w:ascii="Times New Roman" w:hAnsi="Times New Roman" w:cs="Times New Roman"/>
          <w:b/>
        </w:rPr>
        <w:t>Data and Methods</w:t>
      </w:r>
      <w:r w:rsidR="00CF01CA" w:rsidRPr="00FE6D60">
        <w:rPr>
          <w:rFonts w:ascii="Times New Roman" w:hAnsi="Times New Roman" w:cs="Times New Roman"/>
          <w:b/>
        </w:rPr>
        <w:tab/>
      </w:r>
    </w:p>
    <w:p w14:paraId="51B7A189" w14:textId="114C79E0" w:rsidR="00D40262" w:rsidRDefault="00416BF4" w:rsidP="00FD30CC">
      <w:pPr>
        <w:spacing w:line="480" w:lineRule="auto"/>
        <w:ind w:firstLine="720"/>
        <w:jc w:val="both"/>
        <w:rPr>
          <w:rFonts w:ascii="Times New Roman" w:hAnsi="Times New Roman" w:cs="Times New Roman"/>
        </w:rPr>
      </w:pPr>
      <w:r>
        <w:rPr>
          <w:rFonts w:ascii="Times New Roman" w:hAnsi="Times New Roman" w:cs="Times New Roman"/>
        </w:rPr>
        <w:t>In terms of scope, o</w:t>
      </w:r>
      <w:r w:rsidR="006171DB">
        <w:rPr>
          <w:rFonts w:ascii="Times New Roman" w:hAnsi="Times New Roman" w:cs="Times New Roman"/>
        </w:rPr>
        <w:t>ur major interest was in trying to understand the role of policy consulting</w:t>
      </w:r>
      <w:r w:rsidR="008F1CFD">
        <w:rPr>
          <w:rFonts w:ascii="Times New Roman" w:hAnsi="Times New Roman" w:cs="Times New Roman"/>
        </w:rPr>
        <w:t>;</w:t>
      </w:r>
      <w:r w:rsidR="00B52D47">
        <w:rPr>
          <w:rFonts w:ascii="Times New Roman" w:hAnsi="Times New Roman" w:cs="Times New Roman"/>
        </w:rPr>
        <w:t xml:space="preserve"> an area that has been relatively understudied in the </w:t>
      </w:r>
      <w:r w:rsidR="008F22ED">
        <w:rPr>
          <w:rFonts w:ascii="Times New Roman" w:hAnsi="Times New Roman" w:cs="Times New Roman"/>
        </w:rPr>
        <w:t>policy sciences and public administration fields (Boston 1994)</w:t>
      </w:r>
      <w:r w:rsidR="00B52D47">
        <w:rPr>
          <w:rFonts w:ascii="Times New Roman" w:hAnsi="Times New Roman" w:cs="Times New Roman"/>
        </w:rPr>
        <w:t xml:space="preserve">. </w:t>
      </w:r>
      <w:r w:rsidR="005126C3">
        <w:rPr>
          <w:rFonts w:ascii="Times New Roman" w:hAnsi="Times New Roman" w:cs="Times New Roman"/>
        </w:rPr>
        <w:t>There is little doubt that a strong policy capacity i</w:t>
      </w:r>
      <w:r w:rsidR="008F22ED">
        <w:rPr>
          <w:rFonts w:ascii="Times New Roman" w:hAnsi="Times New Roman" w:cs="Times New Roman"/>
        </w:rPr>
        <w:t xml:space="preserve">s </w:t>
      </w:r>
      <w:r w:rsidR="005126C3">
        <w:rPr>
          <w:rFonts w:ascii="Times New Roman" w:hAnsi="Times New Roman" w:cs="Times New Roman"/>
        </w:rPr>
        <w:t xml:space="preserve">critical for good governance (Riddell 2007; Boston 1994) and therefore the emergence of policy consulting </w:t>
      </w:r>
      <w:r w:rsidR="001E0E6B">
        <w:rPr>
          <w:rFonts w:ascii="Times New Roman" w:hAnsi="Times New Roman" w:cs="Times New Roman"/>
        </w:rPr>
        <w:t>has become interesting to scholars</w:t>
      </w:r>
      <w:r w:rsidR="008F22ED">
        <w:rPr>
          <w:rFonts w:ascii="Times New Roman" w:hAnsi="Times New Roman" w:cs="Times New Roman"/>
        </w:rPr>
        <w:t xml:space="preserve"> because of the impacts it has or may have on the quality of policy advice provided to decision-makers (</w:t>
      </w:r>
      <w:r w:rsidR="00D40262">
        <w:rPr>
          <w:rFonts w:ascii="Times New Roman" w:hAnsi="Times New Roman" w:cs="Times New Roman"/>
        </w:rPr>
        <w:t>Raudia 2012; Lindquist and Tiernan 2011; Nicholson 1997; State Services Commission 1999).</w:t>
      </w:r>
      <w:r w:rsidR="001E0E6B">
        <w:rPr>
          <w:rFonts w:ascii="Times New Roman" w:hAnsi="Times New Roman" w:cs="Times New Roman"/>
        </w:rPr>
        <w:t xml:space="preserve"> Howev</w:t>
      </w:r>
      <w:r w:rsidR="005126C3">
        <w:rPr>
          <w:rFonts w:ascii="Times New Roman" w:hAnsi="Times New Roman" w:cs="Times New Roman"/>
        </w:rPr>
        <w:t>er, w</w:t>
      </w:r>
      <w:r w:rsidR="00B52D47">
        <w:rPr>
          <w:rFonts w:ascii="Times New Roman" w:hAnsi="Times New Roman" w:cs="Times New Roman"/>
        </w:rPr>
        <w:t xml:space="preserve">here </w:t>
      </w:r>
      <w:r w:rsidR="0042678E">
        <w:rPr>
          <w:rFonts w:ascii="Times New Roman" w:hAnsi="Times New Roman" w:cs="Times New Roman"/>
        </w:rPr>
        <w:t>it has been analyzed</w:t>
      </w:r>
      <w:r w:rsidR="001E0E6B">
        <w:rPr>
          <w:rFonts w:ascii="Times New Roman" w:hAnsi="Times New Roman" w:cs="Times New Roman"/>
        </w:rPr>
        <w:t>,</w:t>
      </w:r>
      <w:r w:rsidR="0042678E">
        <w:rPr>
          <w:rFonts w:ascii="Times New Roman" w:hAnsi="Times New Roman" w:cs="Times New Roman"/>
        </w:rPr>
        <w:t xml:space="preserve"> it often had to rely on limited or anecdotal data (</w:t>
      </w:r>
      <w:r w:rsidR="001F2BC4">
        <w:rPr>
          <w:rFonts w:ascii="Times New Roman" w:hAnsi="Times New Roman" w:cs="Times New Roman"/>
        </w:rPr>
        <w:t xml:space="preserve">Howard 1996; </w:t>
      </w:r>
      <w:r w:rsidR="0042678E">
        <w:rPr>
          <w:rFonts w:ascii="Times New Roman" w:hAnsi="Times New Roman" w:cs="Times New Roman"/>
        </w:rPr>
        <w:t>Perl and White 2002)</w:t>
      </w:r>
      <w:r w:rsidR="001F2BC4">
        <w:rPr>
          <w:rFonts w:ascii="Times New Roman" w:hAnsi="Times New Roman" w:cs="Times New Roman"/>
        </w:rPr>
        <w:t xml:space="preserve">, highlighting the complexities involved in </w:t>
      </w:r>
      <w:r w:rsidR="00D40262">
        <w:rPr>
          <w:rFonts w:ascii="Times New Roman" w:hAnsi="Times New Roman" w:cs="Times New Roman"/>
        </w:rPr>
        <w:t xml:space="preserve">both </w:t>
      </w:r>
      <w:r w:rsidR="001F2BC4">
        <w:rPr>
          <w:rFonts w:ascii="Times New Roman" w:hAnsi="Times New Roman" w:cs="Times New Roman"/>
        </w:rPr>
        <w:t>purchasing policy advic</w:t>
      </w:r>
      <w:r w:rsidR="00C81579">
        <w:rPr>
          <w:rFonts w:ascii="Times New Roman" w:hAnsi="Times New Roman" w:cs="Times New Roman"/>
        </w:rPr>
        <w:t xml:space="preserve">e </w:t>
      </w:r>
      <w:r w:rsidR="00D40262">
        <w:rPr>
          <w:rFonts w:ascii="Times New Roman" w:hAnsi="Times New Roman" w:cs="Times New Roman"/>
        </w:rPr>
        <w:t xml:space="preserve">and monitoring and evaluating its purchase </w:t>
      </w:r>
      <w:r w:rsidR="005126C3">
        <w:rPr>
          <w:rFonts w:ascii="Times New Roman" w:hAnsi="Times New Roman" w:cs="Times New Roman"/>
        </w:rPr>
        <w:t>so that,</w:t>
      </w:r>
      <w:r w:rsidR="00C81579">
        <w:rPr>
          <w:rFonts w:ascii="Times New Roman" w:hAnsi="Times New Roman" w:cs="Times New Roman"/>
        </w:rPr>
        <w:t xml:space="preserve"> in general</w:t>
      </w:r>
      <w:r w:rsidR="005126C3">
        <w:rPr>
          <w:rFonts w:ascii="Times New Roman" w:hAnsi="Times New Roman" w:cs="Times New Roman"/>
        </w:rPr>
        <w:t>,</w:t>
      </w:r>
      <w:r w:rsidR="00C81579">
        <w:rPr>
          <w:rFonts w:ascii="Times New Roman" w:hAnsi="Times New Roman" w:cs="Times New Roman"/>
        </w:rPr>
        <w:t xml:space="preserve"> </w:t>
      </w:r>
      <w:r w:rsidR="005126C3">
        <w:rPr>
          <w:rFonts w:ascii="Times New Roman" w:hAnsi="Times New Roman" w:cs="Times New Roman"/>
        </w:rPr>
        <w:t xml:space="preserve">the field has much more to say about </w:t>
      </w:r>
      <w:r w:rsidR="00D40262">
        <w:rPr>
          <w:rFonts w:ascii="Times New Roman" w:hAnsi="Times New Roman" w:cs="Times New Roman"/>
        </w:rPr>
        <w:t xml:space="preserve">subjects such as the outsourcing of government work </w:t>
      </w:r>
      <w:r w:rsidR="005126C3">
        <w:rPr>
          <w:rFonts w:ascii="Times New Roman" w:hAnsi="Times New Roman" w:cs="Times New Roman"/>
        </w:rPr>
        <w:t xml:space="preserve">than </w:t>
      </w:r>
      <w:r w:rsidR="00D40262">
        <w:rPr>
          <w:rFonts w:ascii="Times New Roman" w:hAnsi="Times New Roman" w:cs="Times New Roman"/>
        </w:rPr>
        <w:t xml:space="preserve">the impact of </w:t>
      </w:r>
      <w:r w:rsidR="005126C3">
        <w:rPr>
          <w:rFonts w:ascii="Times New Roman" w:hAnsi="Times New Roman" w:cs="Times New Roman"/>
        </w:rPr>
        <w:t xml:space="preserve">policy consulting </w:t>
      </w:r>
      <w:r w:rsidR="00D40262">
        <w:rPr>
          <w:rFonts w:ascii="Times New Roman" w:hAnsi="Times New Roman" w:cs="Times New Roman"/>
        </w:rPr>
        <w:t xml:space="preserve">more generally </w:t>
      </w:r>
      <w:r w:rsidR="005126C3">
        <w:rPr>
          <w:rFonts w:ascii="Times New Roman" w:hAnsi="Times New Roman" w:cs="Times New Roman"/>
        </w:rPr>
        <w:t>(</w:t>
      </w:r>
      <w:r w:rsidR="005126C3" w:rsidRPr="008B0A1E">
        <w:rPr>
          <w:rFonts w:ascii="Times New Roman" w:hAnsi="Times New Roman" w:cs="Times New Roman"/>
          <w:noProof/>
        </w:rPr>
        <w:t>MacDonald 2011</w:t>
      </w:r>
      <w:r w:rsidR="001E0E6B">
        <w:rPr>
          <w:rFonts w:ascii="Times New Roman" w:hAnsi="Times New Roman" w:cs="Times New Roman"/>
          <w:noProof/>
        </w:rPr>
        <w:t>; Lahusen 2002</w:t>
      </w:r>
      <w:r w:rsidR="00DE6B17">
        <w:rPr>
          <w:rFonts w:ascii="Times New Roman" w:hAnsi="Times New Roman" w:cs="Times New Roman"/>
          <w:noProof/>
        </w:rPr>
        <w:t xml:space="preserve">; Woon Kim and Brown 2012; Joaquin and </w:t>
      </w:r>
      <w:r w:rsidR="00DE6B17" w:rsidRPr="00DE6B17">
        <w:rPr>
          <w:rFonts w:ascii="Times New Roman" w:hAnsi="Times New Roman" w:cs="Times New Roman"/>
          <w:szCs w:val="22"/>
        </w:rPr>
        <w:t>Greitens</w:t>
      </w:r>
      <w:r w:rsidR="00DE6B17">
        <w:rPr>
          <w:rFonts w:ascii="Times New Roman" w:hAnsi="Times New Roman" w:cs="Times New Roman"/>
          <w:szCs w:val="22"/>
        </w:rPr>
        <w:t xml:space="preserve"> 2012</w:t>
      </w:r>
      <w:r w:rsidR="005126C3">
        <w:rPr>
          <w:rFonts w:ascii="Times New Roman" w:hAnsi="Times New Roman" w:cs="Times New Roman"/>
        </w:rPr>
        <w:t>)</w:t>
      </w:r>
      <w:r w:rsidR="001F2BC4">
        <w:rPr>
          <w:rFonts w:ascii="Times New Roman" w:hAnsi="Times New Roman" w:cs="Times New Roman"/>
        </w:rPr>
        <w:t xml:space="preserve">. </w:t>
      </w:r>
    </w:p>
    <w:p w14:paraId="0CBCEF52" w14:textId="77777777" w:rsidR="0013032A" w:rsidRDefault="001F2BC4" w:rsidP="00FD30CC">
      <w:pPr>
        <w:spacing w:line="480" w:lineRule="auto"/>
        <w:ind w:firstLine="720"/>
        <w:jc w:val="both"/>
        <w:rPr>
          <w:rFonts w:ascii="Times New Roman" w:hAnsi="Times New Roman" w:cs="Times New Roman"/>
        </w:rPr>
      </w:pPr>
      <w:r>
        <w:rPr>
          <w:rFonts w:ascii="Times New Roman" w:hAnsi="Times New Roman" w:cs="Times New Roman"/>
        </w:rPr>
        <w:t>Of late</w:t>
      </w:r>
      <w:r w:rsidR="00D40262">
        <w:rPr>
          <w:rFonts w:ascii="Times New Roman" w:hAnsi="Times New Roman" w:cs="Times New Roman"/>
        </w:rPr>
        <w:t>, however,</w:t>
      </w:r>
      <w:r>
        <w:rPr>
          <w:rFonts w:ascii="Times New Roman" w:hAnsi="Times New Roman" w:cs="Times New Roman"/>
        </w:rPr>
        <w:t xml:space="preserve"> a more intense effort has be</w:t>
      </w:r>
      <w:r w:rsidR="00C81579">
        <w:rPr>
          <w:rFonts w:ascii="Times New Roman" w:hAnsi="Times New Roman" w:cs="Times New Roman"/>
        </w:rPr>
        <w:t xml:space="preserve">en made to asses the nature of </w:t>
      </w:r>
      <w:r w:rsidR="00D40262">
        <w:rPr>
          <w:rFonts w:ascii="Times New Roman" w:hAnsi="Times New Roman" w:cs="Times New Roman"/>
        </w:rPr>
        <w:t xml:space="preserve">internal policy work in government which now provides a baseline against which the activities of </w:t>
      </w:r>
      <w:r>
        <w:rPr>
          <w:rFonts w:ascii="Times New Roman" w:hAnsi="Times New Roman" w:cs="Times New Roman"/>
        </w:rPr>
        <w:t xml:space="preserve">consultants </w:t>
      </w:r>
      <w:r w:rsidR="00D40262">
        <w:rPr>
          <w:rFonts w:ascii="Times New Roman" w:hAnsi="Times New Roman" w:cs="Times New Roman"/>
        </w:rPr>
        <w:t>can be assessed</w:t>
      </w:r>
      <w:r>
        <w:rPr>
          <w:rFonts w:ascii="Times New Roman" w:hAnsi="Times New Roman" w:cs="Times New Roman"/>
        </w:rPr>
        <w:t xml:space="preserve"> (Howlett 2009; Howlett and Newman 2010; Howlett and Migone 2013</w:t>
      </w:r>
      <w:r w:rsidR="00C81579">
        <w:rPr>
          <w:rFonts w:ascii="Times New Roman" w:hAnsi="Times New Roman" w:cs="Times New Roman"/>
        </w:rPr>
        <w:t>a</w:t>
      </w:r>
      <w:r>
        <w:rPr>
          <w:rFonts w:ascii="Times New Roman" w:hAnsi="Times New Roman" w:cs="Times New Roman"/>
        </w:rPr>
        <w:t xml:space="preserve">; </w:t>
      </w:r>
      <w:r w:rsidR="00C81579">
        <w:rPr>
          <w:rFonts w:ascii="Times New Roman" w:hAnsi="Times New Roman" w:cs="Times New Roman"/>
        </w:rPr>
        <w:t>St. Martin 2005; 2006; Speers 2007</w:t>
      </w:r>
      <w:r>
        <w:rPr>
          <w:rFonts w:ascii="Times New Roman" w:hAnsi="Times New Roman" w:cs="Times New Roman"/>
        </w:rPr>
        <w:t>)</w:t>
      </w:r>
      <w:r w:rsidR="00D40262">
        <w:rPr>
          <w:rFonts w:ascii="Times New Roman" w:hAnsi="Times New Roman" w:cs="Times New Roman"/>
        </w:rPr>
        <w:t>. Although it remains</w:t>
      </w:r>
      <w:r w:rsidR="005126C3" w:rsidRPr="005126C3">
        <w:rPr>
          <w:rFonts w:ascii="Times New Roman" w:hAnsi="Times New Roman" w:cs="Times New Roman"/>
        </w:rPr>
        <w:t xml:space="preserve"> </w:t>
      </w:r>
      <w:r w:rsidR="005126C3">
        <w:rPr>
          <w:rFonts w:ascii="Times New Roman" w:hAnsi="Times New Roman" w:cs="Times New Roman"/>
        </w:rPr>
        <w:t>very difficult to isolate policy consulting from larger categor</w:t>
      </w:r>
      <w:r w:rsidR="00D40262">
        <w:rPr>
          <w:rFonts w:ascii="Times New Roman" w:hAnsi="Times New Roman" w:cs="Times New Roman"/>
        </w:rPr>
        <w:t>ies</w:t>
      </w:r>
      <w:r w:rsidR="005126C3">
        <w:rPr>
          <w:rFonts w:ascii="Times New Roman" w:hAnsi="Times New Roman" w:cs="Times New Roman"/>
        </w:rPr>
        <w:t xml:space="preserve"> of management consulting (Howlett and Migone 2013a; Radcliffe 2010)</w:t>
      </w:r>
      <w:r w:rsidR="00D40262">
        <w:rPr>
          <w:rFonts w:ascii="Times New Roman" w:hAnsi="Times New Roman" w:cs="Times New Roman"/>
        </w:rPr>
        <w:t>, efforts have been made by several governments and academics to address the subject and assess its growth patterns and extent (</w:t>
      </w:r>
      <w:r w:rsidR="00D454BD" w:rsidRPr="008B0A1E">
        <w:rPr>
          <w:rFonts w:ascii="Times New Roman" w:hAnsi="Times New Roman" w:cs="Times New Roman"/>
        </w:rPr>
        <w:fldChar w:fldCharType="begin"/>
      </w:r>
      <w:r w:rsidR="00D40262" w:rsidRPr="008B0A1E">
        <w:rPr>
          <w:rFonts w:ascii="Times New Roman" w:hAnsi="Times New Roman" w:cs="Times New Roman"/>
        </w:rPr>
        <w:instrText xml:space="preserve"> ADDIN ZOTERO_ITEM {"citationID":"l0cjrunsg","citationItems":[{"label":"page","uri":["http://zotero.org/groups/49554/items/DSGUW2WA"]},{"label":"page","uri":["http://zotero.org/groups/49554/items/56BU8FE5"]}]} </w:instrText>
      </w:r>
      <w:r w:rsidR="00D454BD" w:rsidRPr="008B0A1E">
        <w:rPr>
          <w:rFonts w:ascii="Times New Roman" w:hAnsi="Times New Roman" w:cs="Times New Roman"/>
        </w:rPr>
        <w:fldChar w:fldCharType="separate"/>
      </w:r>
      <w:r w:rsidR="00D40262" w:rsidRPr="008B0A1E">
        <w:rPr>
          <w:rFonts w:ascii="Times New Roman" w:hAnsi="Times New Roman" w:cs="Times New Roman"/>
          <w:noProof/>
        </w:rPr>
        <w:t xml:space="preserve">House of Commons Committee of Public Accounts 2010; </w:t>
      </w:r>
      <w:r w:rsidR="00D454BD" w:rsidRPr="008B0A1E">
        <w:rPr>
          <w:rFonts w:ascii="Times New Roman" w:hAnsi="Times New Roman" w:cs="Times New Roman"/>
          <w:noProof/>
        </w:rPr>
        <w:fldChar w:fldCharType="end"/>
      </w:r>
      <w:r w:rsidR="00D40262" w:rsidRPr="008B0A1E">
        <w:rPr>
          <w:rFonts w:ascii="Times New Roman" w:hAnsi="Times New Roman" w:cs="Times New Roman"/>
          <w:noProof/>
        </w:rPr>
        <w:t>Project on Government Oversight 2011</w:t>
      </w:r>
      <w:r w:rsidR="00D40262">
        <w:rPr>
          <w:rFonts w:ascii="Times New Roman" w:hAnsi="Times New Roman" w:cs="Times New Roman"/>
          <w:noProof/>
        </w:rPr>
        <w:t>; Howlett and Migone 2013a).</w:t>
      </w:r>
      <w:r w:rsidR="001E0E6B">
        <w:rPr>
          <w:rFonts w:ascii="Times New Roman" w:hAnsi="Times New Roman" w:cs="Times New Roman"/>
        </w:rPr>
        <w:t xml:space="preserve"> </w:t>
      </w:r>
    </w:p>
    <w:p w14:paraId="4735DB81" w14:textId="291581A6" w:rsidR="002E72E7" w:rsidRDefault="00D40262" w:rsidP="004A1E65">
      <w:pPr>
        <w:spacing w:line="480" w:lineRule="auto"/>
        <w:ind w:firstLine="709"/>
        <w:jc w:val="both"/>
        <w:rPr>
          <w:rFonts w:ascii="Times New Roman" w:hAnsi="Times New Roman"/>
        </w:rPr>
      </w:pPr>
      <w:r>
        <w:rPr>
          <w:rFonts w:ascii="Times New Roman" w:hAnsi="Times New Roman"/>
        </w:rPr>
        <w:t>I</w:t>
      </w:r>
      <w:r w:rsidR="0013032A">
        <w:rPr>
          <w:rFonts w:ascii="Times New Roman" w:hAnsi="Times New Roman"/>
        </w:rPr>
        <w:t xml:space="preserve">n the first instance </w:t>
      </w:r>
      <w:r>
        <w:rPr>
          <w:rFonts w:ascii="Times New Roman" w:hAnsi="Times New Roman"/>
        </w:rPr>
        <w:t xml:space="preserve">a distinction mjust be drawn </w:t>
      </w:r>
      <w:r w:rsidR="0013032A">
        <w:rPr>
          <w:rFonts w:ascii="Times New Roman" w:hAnsi="Times New Roman"/>
        </w:rPr>
        <w:t xml:space="preserve">between outsourcing in general and the hiring of consultants. </w:t>
      </w:r>
      <w:r w:rsidR="00605A5D">
        <w:rPr>
          <w:rFonts w:ascii="Times New Roman" w:hAnsi="Times New Roman"/>
        </w:rPr>
        <w:t xml:space="preserve">Outsourcing often involves the hiring of temporary workers </w:t>
      </w:r>
      <w:r w:rsidR="002E72E7">
        <w:rPr>
          <w:rFonts w:ascii="Times New Roman" w:hAnsi="Times New Roman"/>
        </w:rPr>
        <w:t xml:space="preserve">or the provision of outside goods and services and this general definition does cover consultants who work under contract to provide advisory services to government. However most temporary works are generally </w:t>
      </w:r>
      <w:r w:rsidR="00605A5D">
        <w:rPr>
          <w:rFonts w:ascii="Times New Roman" w:hAnsi="Times New Roman"/>
        </w:rPr>
        <w:t>in clerical and other areas with a large impact o</w:t>
      </w:r>
      <w:r w:rsidR="002E72E7">
        <w:rPr>
          <w:rFonts w:ascii="Times New Roman" w:hAnsi="Times New Roman"/>
        </w:rPr>
        <w:t>n</w:t>
      </w:r>
      <w:r w:rsidR="00605A5D">
        <w:rPr>
          <w:rFonts w:ascii="Times New Roman" w:hAnsi="Times New Roman"/>
        </w:rPr>
        <w:t xml:space="preserve"> direct government expenditures but play a very small role in policy-making (MacDonald 2011). </w:t>
      </w:r>
      <w:r w:rsidR="002E72E7">
        <w:rPr>
          <w:rFonts w:ascii="Times New Roman" w:hAnsi="Times New Roman"/>
        </w:rPr>
        <w:t xml:space="preserve">And not all contractors involved in procurement processes, of course, provide advisory services. </w:t>
      </w:r>
      <w:r w:rsidR="0013032A">
        <w:rPr>
          <w:rFonts w:ascii="Times New Roman" w:hAnsi="Times New Roman"/>
        </w:rPr>
        <w:t xml:space="preserve">In general, </w:t>
      </w:r>
      <w:r w:rsidR="002E72E7">
        <w:rPr>
          <w:rFonts w:ascii="Times New Roman" w:hAnsi="Times New Roman"/>
        </w:rPr>
        <w:t xml:space="preserve">it is possible to isolate policy consultants who appear in government budget documents as professional or scientific sefrvices providers although </w:t>
      </w:r>
      <w:r w:rsidR="0013032A">
        <w:rPr>
          <w:rFonts w:ascii="Times New Roman" w:hAnsi="Times New Roman"/>
        </w:rPr>
        <w:t>most governmental budget offices lump together policy consulting with other areas of professional consulting</w:t>
      </w:r>
      <w:r w:rsidR="00605A5D">
        <w:rPr>
          <w:rFonts w:ascii="Times New Roman" w:hAnsi="Times New Roman"/>
        </w:rPr>
        <w:t xml:space="preserve">, </w:t>
      </w:r>
      <w:r w:rsidR="0013032A">
        <w:rPr>
          <w:rFonts w:ascii="Times New Roman" w:hAnsi="Times New Roman"/>
        </w:rPr>
        <w:t>like accounting</w:t>
      </w:r>
      <w:r w:rsidR="00605A5D">
        <w:rPr>
          <w:rFonts w:ascii="Times New Roman" w:hAnsi="Times New Roman"/>
        </w:rPr>
        <w:t xml:space="preserve"> or legal services,</w:t>
      </w:r>
      <w:r w:rsidR="0013032A">
        <w:rPr>
          <w:rFonts w:ascii="Times New Roman" w:hAnsi="Times New Roman"/>
        </w:rPr>
        <w:t xml:space="preserve"> in </w:t>
      </w:r>
      <w:r w:rsidR="00605A5D">
        <w:rPr>
          <w:rFonts w:ascii="Times New Roman" w:hAnsi="Times New Roman"/>
        </w:rPr>
        <w:t>a general m</w:t>
      </w:r>
      <w:r w:rsidR="0013032A">
        <w:rPr>
          <w:rFonts w:ascii="Times New Roman" w:hAnsi="Times New Roman"/>
        </w:rPr>
        <w:t xml:space="preserve">anagement </w:t>
      </w:r>
      <w:r w:rsidR="00605A5D">
        <w:rPr>
          <w:rFonts w:ascii="Times New Roman" w:hAnsi="Times New Roman"/>
        </w:rPr>
        <w:t>c</w:t>
      </w:r>
      <w:r w:rsidR="0013032A">
        <w:rPr>
          <w:rFonts w:ascii="Times New Roman" w:hAnsi="Times New Roman"/>
        </w:rPr>
        <w:t xml:space="preserve">onsulting category, (Radcliffe 2010; Howlett and Migone 2013a). </w:t>
      </w:r>
    </w:p>
    <w:p w14:paraId="7832BEF9" w14:textId="56F9B950" w:rsidR="002E72E7" w:rsidRDefault="0013032A" w:rsidP="004A1E65">
      <w:pPr>
        <w:spacing w:line="480" w:lineRule="auto"/>
        <w:ind w:firstLine="709"/>
        <w:jc w:val="both"/>
        <w:rPr>
          <w:rFonts w:ascii="Times New Roman" w:hAnsi="Times New Roman" w:cs="Times New Roman"/>
        </w:rPr>
      </w:pPr>
      <w:r>
        <w:rPr>
          <w:rFonts w:ascii="Times New Roman" w:hAnsi="Times New Roman" w:cs="Times New Roman"/>
        </w:rPr>
        <w:t>Because of th</w:t>
      </w:r>
      <w:r w:rsidR="002E72E7">
        <w:rPr>
          <w:rFonts w:ascii="Times New Roman" w:hAnsi="Times New Roman" w:cs="Times New Roman"/>
        </w:rPr>
        <w:t>is and other continuing</w:t>
      </w:r>
      <w:r>
        <w:rPr>
          <w:rFonts w:ascii="Times New Roman" w:hAnsi="Times New Roman" w:cs="Times New Roman"/>
        </w:rPr>
        <w:t xml:space="preserve"> shortcomings in the official data</w:t>
      </w:r>
      <w:r w:rsidR="002E72E7">
        <w:rPr>
          <w:rFonts w:ascii="Times New Roman" w:hAnsi="Times New Roman" w:cs="Times New Roman"/>
        </w:rPr>
        <w:t xml:space="preserve"> – such as often failing to distinguish between multi-year contracts and single year ones</w:t>
      </w:r>
      <w:r w:rsidR="00632CED">
        <w:rPr>
          <w:rFonts w:ascii="Times New Roman" w:hAnsi="Times New Roman" w:cs="Times New Roman"/>
        </w:rPr>
        <w:t xml:space="preserve"> - </w:t>
      </w:r>
      <w:r>
        <w:rPr>
          <w:rFonts w:ascii="Times New Roman" w:hAnsi="Times New Roman" w:cs="Times New Roman"/>
        </w:rPr>
        <w:t>part of the</w:t>
      </w:r>
      <w:r w:rsidR="001E0E6B">
        <w:rPr>
          <w:rFonts w:ascii="Times New Roman" w:hAnsi="Times New Roman" w:cs="Times New Roman"/>
        </w:rPr>
        <w:t xml:space="preserve"> new</w:t>
      </w:r>
      <w:r w:rsidR="002E72E7">
        <w:rPr>
          <w:rFonts w:ascii="Times New Roman" w:hAnsi="Times New Roman" w:cs="Times New Roman"/>
        </w:rPr>
        <w:t xml:space="preserve"> direction in</w:t>
      </w:r>
      <w:r w:rsidR="001E0E6B">
        <w:rPr>
          <w:rFonts w:ascii="Times New Roman" w:hAnsi="Times New Roman" w:cs="Times New Roman"/>
        </w:rPr>
        <w:t xml:space="preserve"> research </w:t>
      </w:r>
      <w:r w:rsidR="002E72E7">
        <w:rPr>
          <w:rFonts w:ascii="Times New Roman" w:hAnsi="Times New Roman" w:cs="Times New Roman"/>
        </w:rPr>
        <w:t>into policy consulting has been to</w:t>
      </w:r>
      <w:r w:rsidR="001E0E6B">
        <w:rPr>
          <w:rFonts w:ascii="Times New Roman" w:hAnsi="Times New Roman" w:cs="Times New Roman"/>
        </w:rPr>
        <w:t xml:space="preserve"> engage the question in a more detailed manner through the analysis of detailed </w:t>
      </w:r>
      <w:r w:rsidR="002E72E7">
        <w:rPr>
          <w:rFonts w:ascii="Times New Roman" w:hAnsi="Times New Roman" w:cs="Times New Roman"/>
        </w:rPr>
        <w:t xml:space="preserve">public </w:t>
      </w:r>
      <w:r w:rsidR="001E0E6B">
        <w:rPr>
          <w:rFonts w:ascii="Times New Roman" w:hAnsi="Times New Roman" w:cs="Times New Roman"/>
        </w:rPr>
        <w:t xml:space="preserve">data </w:t>
      </w:r>
      <w:r w:rsidR="002E72E7">
        <w:rPr>
          <w:rFonts w:ascii="Times New Roman" w:hAnsi="Times New Roman" w:cs="Times New Roman"/>
        </w:rPr>
        <w:t xml:space="preserve">on individual contracts now widely available on government or NGO websites </w:t>
      </w:r>
      <w:r w:rsidR="001E0E6B">
        <w:rPr>
          <w:rFonts w:ascii="Times New Roman" w:hAnsi="Times New Roman" w:cs="Times New Roman"/>
        </w:rPr>
        <w:t xml:space="preserve">(Howlett and Migone 2013a) and by employing survey tools to explore the role of consultants in the process (Howlett and Migone 2013b). </w:t>
      </w:r>
      <w:r w:rsidR="002E72E7">
        <w:rPr>
          <w:rFonts w:ascii="Times New Roman" w:hAnsi="Times New Roman" w:cs="Times New Roman"/>
        </w:rPr>
        <w:t>However until recently this work focused almost exclusively on the identification of consultants and consultant behaviour rather than upon the management practices of government vis a vis</w:t>
      </w:r>
      <w:r w:rsidR="00632CED">
        <w:rPr>
          <w:rFonts w:ascii="Times New Roman" w:hAnsi="Times New Roman" w:cs="Times New Roman"/>
        </w:rPr>
        <w:t xml:space="preserve"> </w:t>
      </w:r>
      <w:r w:rsidR="002E72E7">
        <w:rPr>
          <w:rFonts w:ascii="Times New Roman" w:hAnsi="Times New Roman" w:cs="Times New Roman"/>
        </w:rPr>
        <w:t xml:space="preserve">policy consulting. </w:t>
      </w:r>
    </w:p>
    <w:p w14:paraId="4DD551DD" w14:textId="45471B90" w:rsidR="002E72E7" w:rsidRPr="008B0A1E" w:rsidRDefault="001E0E6B" w:rsidP="004A1E65">
      <w:pPr>
        <w:spacing w:line="480" w:lineRule="auto"/>
        <w:ind w:firstLine="709"/>
        <w:jc w:val="both"/>
        <w:rPr>
          <w:rFonts w:ascii="Times New Roman" w:hAnsi="Times New Roman"/>
        </w:rPr>
      </w:pPr>
      <w:r>
        <w:rPr>
          <w:rFonts w:ascii="Times New Roman" w:hAnsi="Times New Roman" w:cs="Times New Roman"/>
        </w:rPr>
        <w:t xml:space="preserve">Here we complement Howlett and Migone (2013b) analysis </w:t>
      </w:r>
      <w:r w:rsidR="002E72E7">
        <w:rPr>
          <w:rFonts w:ascii="Times New Roman" w:hAnsi="Times New Roman" w:cs="Times New Roman"/>
        </w:rPr>
        <w:t xml:space="preserve">of Canadian federal </w:t>
      </w:r>
      <w:r>
        <w:rPr>
          <w:rFonts w:ascii="Times New Roman" w:hAnsi="Times New Roman" w:cs="Times New Roman"/>
        </w:rPr>
        <w:t>consult</w:t>
      </w:r>
      <w:r w:rsidR="002E72E7">
        <w:rPr>
          <w:rFonts w:ascii="Times New Roman" w:hAnsi="Times New Roman" w:cs="Times New Roman"/>
        </w:rPr>
        <w:t xml:space="preserve">ing contracts and companies </w:t>
      </w:r>
      <w:r>
        <w:rPr>
          <w:rFonts w:ascii="Times New Roman" w:hAnsi="Times New Roman" w:cs="Times New Roman"/>
        </w:rPr>
        <w:t>with an analysis of the perceptions and experiences of government officials with consulting and in particular with policy consulting.</w:t>
      </w:r>
      <w:r w:rsidR="002E72E7">
        <w:rPr>
          <w:rFonts w:ascii="Times New Roman" w:hAnsi="Times New Roman" w:cs="Times New Roman"/>
        </w:rPr>
        <w:t xml:space="preserve"> This work is based on a large-scale survey of government policy managers conducted in late 2012 and early 2013. The survey identified </w:t>
      </w:r>
      <w:r w:rsidR="00F14489">
        <w:rPr>
          <w:rFonts w:ascii="Times New Roman" w:hAnsi="Times New Roman" w:cs="Times New Roman"/>
        </w:rPr>
        <w:t>1</w:t>
      </w:r>
      <w:r w:rsidR="00632CED">
        <w:rPr>
          <w:rFonts w:ascii="Times New Roman" w:hAnsi="Times New Roman" w:cs="Times New Roman"/>
        </w:rPr>
        <w:t>,</w:t>
      </w:r>
      <w:r w:rsidR="00F14489">
        <w:rPr>
          <w:rFonts w:ascii="Times New Roman" w:hAnsi="Times New Roman" w:cs="Times New Roman"/>
        </w:rPr>
        <w:t>100 federal, provincial and territorial policy managers based on a sampling of federal government telephone directories and job descriptions combined with a sample of provincial and territorial managers identified in earlier surveys conducted by one of the authors (for details on these surveys see Howlett 2011; Howlett and Walker 2012).</w:t>
      </w:r>
      <w:r w:rsidR="00A55498">
        <w:rPr>
          <w:rFonts w:ascii="Times New Roman" w:hAnsi="Times New Roman" w:cs="Times New Roman"/>
        </w:rPr>
        <w:t xml:space="preserve"> The survey instrument was based on one used in the UK by the National A</w:t>
      </w:r>
      <w:r w:rsidR="00A83BD0">
        <w:rPr>
          <w:rFonts w:ascii="Times New Roman" w:hAnsi="Times New Roman" w:cs="Times New Roman"/>
        </w:rPr>
        <w:t>udit</w:t>
      </w:r>
      <w:r w:rsidR="00A55498">
        <w:rPr>
          <w:rFonts w:ascii="Times New Roman" w:hAnsi="Times New Roman" w:cs="Times New Roman"/>
        </w:rPr>
        <w:t xml:space="preserve"> Office and contained 50 questions related to best practices identified in Europe with respect to gov</w:t>
      </w:r>
      <w:r w:rsidR="00A83BD0">
        <w:rPr>
          <w:rFonts w:ascii="Times New Roman" w:hAnsi="Times New Roman" w:cs="Times New Roman"/>
        </w:rPr>
        <w:t xml:space="preserve">ernment consulting activity (On the survey itself see </w:t>
      </w:r>
      <w:r w:rsidR="00A55498">
        <w:rPr>
          <w:rFonts w:ascii="Times New Roman" w:hAnsi="Times New Roman" w:cs="Times New Roman"/>
        </w:rPr>
        <w:t>NAO</w:t>
      </w:r>
      <w:r w:rsidR="00A83BD0">
        <w:rPr>
          <w:rFonts w:ascii="Times New Roman" w:hAnsi="Times New Roman" w:cs="Times New Roman"/>
        </w:rPr>
        <w:t xml:space="preserve"> 2006).</w:t>
      </w:r>
    </w:p>
    <w:p w14:paraId="0BB26B6C" w14:textId="53F9338F" w:rsidR="00A83BD0" w:rsidRDefault="00A83BD0" w:rsidP="00164415">
      <w:pPr>
        <w:spacing w:line="480" w:lineRule="auto"/>
        <w:ind w:firstLine="709"/>
        <w:jc w:val="both"/>
        <w:rPr>
          <w:rFonts w:ascii="Times New Roman" w:hAnsi="Times New Roman" w:cs="Times New Roman"/>
          <w:noProof/>
        </w:rPr>
      </w:pPr>
      <w:r>
        <w:rPr>
          <w:rFonts w:ascii="Times New Roman" w:hAnsi="Times New Roman" w:cs="Times New Roman"/>
        </w:rPr>
        <w:t>On the basis of t</w:t>
      </w:r>
      <w:r w:rsidR="00FE6D60">
        <w:rPr>
          <w:rFonts w:ascii="Times New Roman" w:hAnsi="Times New Roman" w:cs="Times New Roman"/>
        </w:rPr>
        <w:t>he survey results we argue that</w:t>
      </w:r>
      <w:r>
        <w:rPr>
          <w:rFonts w:ascii="Times New Roman" w:hAnsi="Times New Roman" w:cs="Times New Roman"/>
        </w:rPr>
        <w:t>, s</w:t>
      </w:r>
      <w:r w:rsidR="00FB1D20">
        <w:rPr>
          <w:rFonts w:ascii="Times New Roman" w:hAnsi="Times New Roman" w:cs="Times New Roman"/>
        </w:rPr>
        <w:t xml:space="preserve">ubstantively, </w:t>
      </w:r>
      <w:r w:rsidR="00F322EA">
        <w:rPr>
          <w:rFonts w:ascii="Times New Roman" w:hAnsi="Times New Roman" w:cs="Times New Roman"/>
        </w:rPr>
        <w:t xml:space="preserve">the current focus of internal overview undertaken by the Canadian Federal government (Public Service Commission 2010; </w:t>
      </w:r>
      <w:r w:rsidR="00F322EA" w:rsidRPr="00F322EA">
        <w:rPr>
          <w:rFonts w:ascii="Times New Roman" w:hAnsi="Times New Roman"/>
        </w:rPr>
        <w:t>Auditor General of Canada 2012a</w:t>
      </w:r>
      <w:r w:rsidR="00F322EA">
        <w:rPr>
          <w:rFonts w:ascii="Times New Roman" w:hAnsi="Times New Roman"/>
        </w:rPr>
        <w:t>; 2012b</w:t>
      </w:r>
      <w:r w:rsidR="00F322EA">
        <w:rPr>
          <w:rFonts w:ascii="Times New Roman" w:hAnsi="Times New Roman" w:cs="Times New Roman"/>
        </w:rPr>
        <w:t>)</w:t>
      </w:r>
      <w:r w:rsidR="00FB1D20">
        <w:rPr>
          <w:rFonts w:ascii="Times New Roman" w:hAnsi="Times New Roman" w:cs="Times New Roman"/>
        </w:rPr>
        <w:t xml:space="preserve"> </w:t>
      </w:r>
      <w:r w:rsidR="00F322EA">
        <w:rPr>
          <w:rFonts w:ascii="Times New Roman" w:hAnsi="Times New Roman" w:cs="Times New Roman"/>
        </w:rPr>
        <w:t xml:space="preserve">and in many other countries (ANAO 2001; </w:t>
      </w:r>
      <w:r w:rsidR="00F322EA" w:rsidRPr="008B0A1E">
        <w:rPr>
          <w:rFonts w:ascii="Times New Roman" w:hAnsi="Times New Roman" w:cs="Times New Roman"/>
          <w:noProof/>
        </w:rPr>
        <w:t>Project on Government Oversight 2011</w:t>
      </w:r>
      <w:r w:rsidR="00F322EA">
        <w:rPr>
          <w:rFonts w:ascii="Times New Roman" w:hAnsi="Times New Roman" w:cs="Times New Roman"/>
          <w:noProof/>
        </w:rPr>
        <w:t xml:space="preserve">; </w:t>
      </w:r>
      <w:r w:rsidR="00F322EA" w:rsidRPr="008B0A1E">
        <w:rPr>
          <w:rFonts w:ascii="Times New Roman" w:hAnsi="Times New Roman" w:cs="Times New Roman"/>
          <w:noProof/>
        </w:rPr>
        <w:t>House of Commons Co</w:t>
      </w:r>
      <w:r w:rsidR="00F322EA">
        <w:rPr>
          <w:rFonts w:ascii="Times New Roman" w:hAnsi="Times New Roman" w:cs="Times New Roman"/>
          <w:noProof/>
        </w:rPr>
        <w:t>mmittee of Public Accounts 2010) is overly focused on the financial auditing side</w:t>
      </w:r>
      <w:r>
        <w:rPr>
          <w:rFonts w:ascii="Times New Roman" w:hAnsi="Times New Roman" w:cs="Times New Roman"/>
          <w:noProof/>
        </w:rPr>
        <w:t xml:space="preserve"> and is largely concerned with questions about the appropriate expenditure of funds rather than the quality of impact of the results of these expenditures. In particular these studies have ignored major issues respecting the learning which results from the use of consultants and in so doing has missed not only questions related to ‘value for money’ on an individual contract but also those linked to government-wide impact</w:t>
      </w:r>
      <w:r w:rsidR="00F322EA">
        <w:rPr>
          <w:rFonts w:ascii="Times New Roman" w:hAnsi="Times New Roman" w:cs="Times New Roman"/>
          <w:noProof/>
        </w:rPr>
        <w:t xml:space="preserve">. </w:t>
      </w:r>
    </w:p>
    <w:p w14:paraId="56CFC36F" w14:textId="068F697E" w:rsidR="00C8326D" w:rsidRDefault="00553ED0" w:rsidP="00FE6D60">
      <w:pPr>
        <w:spacing w:line="480" w:lineRule="auto"/>
        <w:ind w:firstLine="720"/>
        <w:jc w:val="both"/>
        <w:rPr>
          <w:rFonts w:ascii="Times New Roman" w:hAnsi="Times New Roman"/>
        </w:rPr>
      </w:pPr>
      <w:r>
        <w:rPr>
          <w:rFonts w:ascii="Times New Roman" w:hAnsi="Times New Roman"/>
        </w:rPr>
        <w:t xml:space="preserve">In the next section we put forward the results of our survey and finally we offer some conclusions. </w:t>
      </w:r>
    </w:p>
    <w:p w14:paraId="7B8951D0" w14:textId="77777777" w:rsidR="00FE6D60" w:rsidRPr="008B0A1E" w:rsidRDefault="00FE6D60" w:rsidP="00FE6D60">
      <w:pPr>
        <w:ind w:firstLine="720"/>
        <w:jc w:val="both"/>
        <w:rPr>
          <w:rFonts w:ascii="Times New Roman" w:hAnsi="Times New Roman"/>
        </w:rPr>
      </w:pPr>
    </w:p>
    <w:p w14:paraId="5E148642" w14:textId="77777777" w:rsidR="00C8326D" w:rsidRPr="008B0A1E" w:rsidRDefault="00C8326D" w:rsidP="004A1E65">
      <w:pPr>
        <w:spacing w:line="480" w:lineRule="auto"/>
        <w:jc w:val="both"/>
        <w:rPr>
          <w:rFonts w:ascii="Times New Roman" w:hAnsi="Times New Roman"/>
        </w:rPr>
      </w:pPr>
      <w:r w:rsidRPr="008B0A1E">
        <w:rPr>
          <w:rFonts w:ascii="Times New Roman" w:hAnsi="Times New Roman"/>
          <w:b/>
        </w:rPr>
        <w:t>Survey Results</w:t>
      </w:r>
    </w:p>
    <w:p w14:paraId="546F68D1" w14:textId="77777777" w:rsidR="00FE6D60" w:rsidRPr="00FE6D60" w:rsidRDefault="00FE6D60" w:rsidP="00246346">
      <w:pPr>
        <w:spacing w:line="480" w:lineRule="auto"/>
        <w:ind w:firstLine="720"/>
        <w:jc w:val="both"/>
        <w:rPr>
          <w:rFonts w:ascii="Times New Roman" w:hAnsi="Times New Roman"/>
          <w:i/>
        </w:rPr>
      </w:pPr>
      <w:r w:rsidRPr="00FE6D60">
        <w:rPr>
          <w:rFonts w:ascii="Times New Roman" w:hAnsi="Times New Roman"/>
          <w:i/>
        </w:rPr>
        <w:t xml:space="preserve">Expertise of Policy Managers: </w:t>
      </w:r>
    </w:p>
    <w:p w14:paraId="511507C5" w14:textId="77777777" w:rsidR="000372AE" w:rsidRDefault="001F7FDF" w:rsidP="00246346">
      <w:pPr>
        <w:spacing w:line="480" w:lineRule="auto"/>
        <w:ind w:firstLine="720"/>
        <w:jc w:val="both"/>
        <w:rPr>
          <w:rFonts w:ascii="Times New Roman" w:hAnsi="Times New Roman"/>
        </w:rPr>
      </w:pPr>
      <w:r>
        <w:rPr>
          <w:rFonts w:ascii="Times New Roman" w:hAnsi="Times New Roman"/>
        </w:rPr>
        <w:t xml:space="preserve">The initial set of questions </w:t>
      </w:r>
      <w:r w:rsidR="00FE6D60">
        <w:rPr>
          <w:rFonts w:ascii="Times New Roman" w:hAnsi="Times New Roman"/>
        </w:rPr>
        <w:t xml:space="preserve">in the survey </w:t>
      </w:r>
      <w:r>
        <w:rPr>
          <w:rFonts w:ascii="Times New Roman" w:hAnsi="Times New Roman"/>
        </w:rPr>
        <w:t xml:space="preserve">was designed to articulate </w:t>
      </w:r>
      <w:r w:rsidR="00632CED">
        <w:rPr>
          <w:rFonts w:ascii="Times New Roman" w:hAnsi="Times New Roman"/>
        </w:rPr>
        <w:t xml:space="preserve">the </w:t>
      </w:r>
      <w:r w:rsidR="00FE6D60">
        <w:rPr>
          <w:rFonts w:ascii="Times New Roman" w:hAnsi="Times New Roman"/>
        </w:rPr>
        <w:t>background of the policy managers themselves</w:t>
      </w:r>
      <w:r>
        <w:rPr>
          <w:rFonts w:ascii="Times New Roman" w:hAnsi="Times New Roman"/>
        </w:rPr>
        <w:t xml:space="preserve">. </w:t>
      </w:r>
      <w:r w:rsidR="0064082E">
        <w:rPr>
          <w:rFonts w:ascii="Times New Roman" w:hAnsi="Times New Roman"/>
        </w:rPr>
        <w:t>The bulk of the</w:t>
      </w:r>
      <w:r w:rsidR="0064082E" w:rsidRPr="008B0A1E">
        <w:rPr>
          <w:rFonts w:ascii="Times New Roman" w:hAnsi="Times New Roman"/>
        </w:rPr>
        <w:t xml:space="preserve"> managers</w:t>
      </w:r>
      <w:r w:rsidR="0064082E">
        <w:rPr>
          <w:rFonts w:ascii="Times New Roman" w:hAnsi="Times New Roman"/>
        </w:rPr>
        <w:t xml:space="preserve"> that answered our survey</w:t>
      </w:r>
      <w:r w:rsidR="0064082E" w:rsidRPr="008B0A1E">
        <w:rPr>
          <w:rFonts w:ascii="Times New Roman" w:hAnsi="Times New Roman"/>
        </w:rPr>
        <w:t xml:space="preserve"> have been in their position </w:t>
      </w:r>
      <w:r w:rsidR="00FE6D60">
        <w:rPr>
          <w:rFonts w:ascii="Times New Roman" w:hAnsi="Times New Roman"/>
        </w:rPr>
        <w:t>between 0 and 5 years (65%) [Chart 1</w:t>
      </w:r>
      <w:r w:rsidR="0064082E" w:rsidRPr="008B0A1E">
        <w:rPr>
          <w:rFonts w:ascii="Times New Roman" w:hAnsi="Times New Roman"/>
        </w:rPr>
        <w:t xml:space="preserve">]. </w:t>
      </w:r>
    </w:p>
    <w:p w14:paraId="2ED7F559" w14:textId="77777777" w:rsidR="0064082E" w:rsidRDefault="0064082E" w:rsidP="001F7FDF">
      <w:pPr>
        <w:jc w:val="both"/>
        <w:rPr>
          <w:rFonts w:ascii="Times New Roman" w:hAnsi="Times New Roman"/>
        </w:rPr>
      </w:pPr>
      <w:r w:rsidRPr="008B0A1E">
        <w:rPr>
          <w:rFonts w:ascii="Times New Roman" w:hAnsi="Times New Roman"/>
          <w:i/>
        </w:rPr>
        <w:t xml:space="preserve">Chart </w:t>
      </w:r>
      <w:r w:rsidR="00FE6D60">
        <w:rPr>
          <w:rFonts w:ascii="Times New Roman" w:hAnsi="Times New Roman"/>
          <w:i/>
        </w:rPr>
        <w:t>1</w:t>
      </w:r>
      <w:r>
        <w:rPr>
          <w:rFonts w:ascii="Times New Roman" w:hAnsi="Times New Roman"/>
          <w:i/>
        </w:rPr>
        <w:t xml:space="preserve"> Length of Employment in Current Position</w:t>
      </w:r>
    </w:p>
    <w:p w14:paraId="2DEC1693" w14:textId="77777777" w:rsidR="0064082E" w:rsidRDefault="0064082E" w:rsidP="001F7FDF">
      <w:pPr>
        <w:jc w:val="both"/>
        <w:rPr>
          <w:rFonts w:ascii="Times New Roman" w:hAnsi="Times New Roman"/>
        </w:rPr>
      </w:pPr>
      <w:r w:rsidRPr="0064082E">
        <w:rPr>
          <w:rFonts w:ascii="Times New Roman" w:hAnsi="Times New Roman"/>
          <w:noProof/>
        </w:rPr>
        <w:drawing>
          <wp:inline distT="0" distB="0" distL="0" distR="0" wp14:anchorId="3236318E" wp14:editId="6417F3AB">
            <wp:extent cx="4079240" cy="2255520"/>
            <wp:effectExtent l="0" t="0" r="10160" b="5080"/>
            <wp:docPr id="11"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2AC491" w14:textId="77777777" w:rsidR="0064082E" w:rsidRDefault="0064082E" w:rsidP="001F7FDF">
      <w:pPr>
        <w:jc w:val="both"/>
        <w:rPr>
          <w:rFonts w:ascii="Times New Roman" w:hAnsi="Times New Roman"/>
          <w:i/>
          <w:sz w:val="20"/>
        </w:rPr>
      </w:pPr>
      <w:r w:rsidRPr="008B0A1E">
        <w:rPr>
          <w:rFonts w:ascii="Times New Roman" w:hAnsi="Times New Roman"/>
          <w:i/>
          <w:sz w:val="20"/>
        </w:rPr>
        <w:t>Sou</w:t>
      </w:r>
      <w:r>
        <w:rPr>
          <w:rFonts w:ascii="Times New Roman" w:hAnsi="Times New Roman"/>
          <w:i/>
          <w:sz w:val="20"/>
        </w:rPr>
        <w:t>rce Q.2</w:t>
      </w:r>
    </w:p>
    <w:p w14:paraId="64C3CD3C" w14:textId="77777777" w:rsidR="0064082E" w:rsidRPr="0064082E" w:rsidRDefault="0064082E" w:rsidP="001F7FDF">
      <w:pPr>
        <w:jc w:val="both"/>
        <w:rPr>
          <w:rFonts w:ascii="Times New Roman" w:hAnsi="Times New Roman"/>
          <w:i/>
          <w:sz w:val="20"/>
        </w:rPr>
      </w:pPr>
    </w:p>
    <w:p w14:paraId="46A5597A" w14:textId="46CECB68" w:rsidR="0064082E" w:rsidRPr="008B0A1E" w:rsidRDefault="00FE6D60" w:rsidP="001F7FDF">
      <w:pPr>
        <w:spacing w:line="480" w:lineRule="auto"/>
        <w:ind w:firstLine="720"/>
        <w:jc w:val="both"/>
        <w:rPr>
          <w:rFonts w:ascii="Times New Roman" w:hAnsi="Times New Roman"/>
        </w:rPr>
      </w:pPr>
      <w:r>
        <w:rPr>
          <w:rFonts w:ascii="Times New Roman" w:hAnsi="Times New Roman"/>
        </w:rPr>
        <w:t>This in itself is an interesting finding as the policy consultants themselves often have more than 20 years of experience in their fields (Howlett and Migone 2013 forthcoming). O</w:t>
      </w:r>
      <w:r w:rsidR="0064082E" w:rsidRPr="008B0A1E">
        <w:rPr>
          <w:rFonts w:ascii="Times New Roman" w:hAnsi="Times New Roman"/>
        </w:rPr>
        <w:t xml:space="preserve">nly a little more than ¼ of the respondents have either undergraduate or Master level courses in public policy, </w:t>
      </w:r>
      <w:r>
        <w:rPr>
          <w:rFonts w:ascii="Times New Roman" w:hAnsi="Times New Roman"/>
        </w:rPr>
        <w:t xml:space="preserve">although </w:t>
      </w:r>
      <w:r w:rsidR="0064082E" w:rsidRPr="008B0A1E">
        <w:rPr>
          <w:rFonts w:ascii="Times New Roman" w:hAnsi="Times New Roman"/>
        </w:rPr>
        <w:t>68.4% received some kind of internal government training</w:t>
      </w:r>
      <w:r>
        <w:rPr>
          <w:rFonts w:ascii="Times New Roman" w:hAnsi="Times New Roman"/>
        </w:rPr>
        <w:t xml:space="preserve">, </w:t>
      </w:r>
      <w:r w:rsidR="00632CED">
        <w:rPr>
          <w:rFonts w:ascii="Times New Roman" w:hAnsi="Times New Roman"/>
        </w:rPr>
        <w:t xml:space="preserve">but </w:t>
      </w:r>
      <w:r>
        <w:rPr>
          <w:rFonts w:ascii="Times New Roman" w:hAnsi="Times New Roman"/>
        </w:rPr>
        <w:t>much of it being rudimentary such as participating in workshops and conferences</w:t>
      </w:r>
      <w:r w:rsidR="0064082E" w:rsidRPr="008B0A1E">
        <w:rPr>
          <w:rFonts w:ascii="Times New Roman" w:hAnsi="Times New Roman"/>
        </w:rPr>
        <w:t xml:space="preserve">. </w:t>
      </w:r>
    </w:p>
    <w:p w14:paraId="50667FA0" w14:textId="77777777" w:rsidR="00FE6D60" w:rsidRDefault="00FE6D60" w:rsidP="00FE6D60">
      <w:pPr>
        <w:ind w:firstLine="720"/>
        <w:jc w:val="both"/>
        <w:rPr>
          <w:rFonts w:ascii="Times New Roman" w:hAnsi="Times New Roman"/>
        </w:rPr>
      </w:pPr>
    </w:p>
    <w:p w14:paraId="073B02F5" w14:textId="77777777" w:rsidR="00FE6D60" w:rsidRDefault="00FE6D60" w:rsidP="00FE6D60">
      <w:pPr>
        <w:spacing w:line="480" w:lineRule="auto"/>
        <w:jc w:val="both"/>
        <w:rPr>
          <w:rFonts w:ascii="Times New Roman" w:hAnsi="Times New Roman"/>
          <w:i/>
        </w:rPr>
      </w:pPr>
      <w:r w:rsidRPr="00FE6D60">
        <w:rPr>
          <w:rFonts w:ascii="Times New Roman" w:hAnsi="Times New Roman"/>
          <w:i/>
        </w:rPr>
        <w:t>The Nature of Consulting Activities</w:t>
      </w:r>
      <w:r>
        <w:rPr>
          <w:rFonts w:ascii="Times New Roman" w:hAnsi="Times New Roman"/>
          <w:i/>
        </w:rPr>
        <w:t xml:space="preserve"> Managed</w:t>
      </w:r>
    </w:p>
    <w:p w14:paraId="7DED1EB5" w14:textId="77777777" w:rsidR="00FE6D60" w:rsidRPr="00FE6D60" w:rsidRDefault="00FE6D60" w:rsidP="008150F7">
      <w:pPr>
        <w:spacing w:line="480" w:lineRule="auto"/>
        <w:ind w:firstLine="720"/>
        <w:jc w:val="both"/>
        <w:rPr>
          <w:rFonts w:ascii="Times New Roman" w:hAnsi="Times New Roman"/>
        </w:rPr>
      </w:pPr>
      <w:r>
        <w:rPr>
          <w:rFonts w:ascii="Times New Roman" w:hAnsi="Times New Roman"/>
        </w:rPr>
        <w:t xml:space="preserve">As Chart 2 shows, </w:t>
      </w:r>
      <w:r w:rsidRPr="008B0A1E">
        <w:rPr>
          <w:rFonts w:ascii="Times New Roman" w:hAnsi="Times New Roman"/>
        </w:rPr>
        <w:t xml:space="preserve">In terms of the activity </w:t>
      </w:r>
      <w:r>
        <w:rPr>
          <w:rFonts w:ascii="Times New Roman" w:hAnsi="Times New Roman"/>
        </w:rPr>
        <w:t>managers undertake</w:t>
      </w:r>
      <w:r w:rsidRPr="008B0A1E">
        <w:rPr>
          <w:rFonts w:ascii="Times New Roman" w:hAnsi="Times New Roman"/>
        </w:rPr>
        <w:t xml:space="preserve">, it is also interesting to notice that </w:t>
      </w:r>
      <w:r>
        <w:rPr>
          <w:rFonts w:ascii="Times New Roman" w:hAnsi="Times New Roman"/>
        </w:rPr>
        <w:t xml:space="preserve">those managing </w:t>
      </w:r>
      <w:r w:rsidRPr="008B0A1E">
        <w:rPr>
          <w:rFonts w:ascii="Times New Roman" w:hAnsi="Times New Roman"/>
        </w:rPr>
        <w:t xml:space="preserve">policy </w:t>
      </w:r>
      <w:r>
        <w:rPr>
          <w:rFonts w:ascii="Times New Roman" w:hAnsi="Times New Roman"/>
        </w:rPr>
        <w:t>consultants</w:t>
      </w:r>
      <w:r w:rsidRPr="008B0A1E">
        <w:rPr>
          <w:rFonts w:ascii="Times New Roman" w:hAnsi="Times New Roman"/>
        </w:rPr>
        <w:t xml:space="preserve"> engage in the various phases of the policy cycle almost equally [Q.6].</w:t>
      </w:r>
      <w:r>
        <w:rPr>
          <w:rFonts w:ascii="Times New Roman" w:hAnsi="Times New Roman"/>
        </w:rPr>
        <w:t xml:space="preserve"> This may support the analysis by Page (2010) that pointed at a general refocusing of governmental personnel towards process expertise.</w:t>
      </w:r>
    </w:p>
    <w:p w14:paraId="0CBFFE51" w14:textId="77777777" w:rsidR="0064082E" w:rsidRPr="008B0A1E" w:rsidRDefault="00FE6D60" w:rsidP="001F7FDF">
      <w:pPr>
        <w:jc w:val="both"/>
        <w:rPr>
          <w:rFonts w:ascii="Times New Roman" w:hAnsi="Times New Roman"/>
        </w:rPr>
      </w:pPr>
      <w:r>
        <w:rPr>
          <w:rFonts w:ascii="Times New Roman" w:hAnsi="Times New Roman"/>
          <w:i/>
        </w:rPr>
        <w:t>Chart 2</w:t>
      </w:r>
      <w:r w:rsidR="001F7FDF">
        <w:rPr>
          <w:rFonts w:ascii="Times New Roman" w:hAnsi="Times New Roman"/>
          <w:i/>
        </w:rPr>
        <w:t xml:space="preserve"> Aspects of Policy Making Contracted to Consultants</w:t>
      </w:r>
    </w:p>
    <w:p w14:paraId="3C8C26F1" w14:textId="77777777" w:rsidR="00632CED" w:rsidRPr="008B0A1E" w:rsidRDefault="00435B4E" w:rsidP="001F7FDF">
      <w:pPr>
        <w:jc w:val="both"/>
        <w:rPr>
          <w:rFonts w:ascii="Times New Roman" w:hAnsi="Times New Roman"/>
        </w:rPr>
      </w:pPr>
      <w:r w:rsidRPr="00E63379">
        <w:rPr>
          <w:rFonts w:ascii="Times New Roman" w:hAnsi="Times New Roman"/>
          <w:noProof/>
        </w:rPr>
        <w:drawing>
          <wp:inline distT="0" distB="0" distL="0" distR="0" wp14:anchorId="05EBD438" wp14:editId="43392DCD">
            <wp:extent cx="5491480" cy="3784600"/>
            <wp:effectExtent l="25400" t="25400" r="20320" b="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BECA42" w14:textId="77777777" w:rsidR="001F7FDF" w:rsidRDefault="001F7FDF" w:rsidP="001F7FDF">
      <w:pPr>
        <w:jc w:val="both"/>
        <w:rPr>
          <w:rFonts w:ascii="Times New Roman" w:hAnsi="Times New Roman"/>
          <w:i/>
          <w:sz w:val="20"/>
        </w:rPr>
      </w:pPr>
      <w:r w:rsidRPr="008B0A1E">
        <w:rPr>
          <w:rFonts w:ascii="Times New Roman" w:hAnsi="Times New Roman"/>
          <w:i/>
          <w:sz w:val="20"/>
        </w:rPr>
        <w:t>Sou</w:t>
      </w:r>
      <w:r>
        <w:rPr>
          <w:rFonts w:ascii="Times New Roman" w:hAnsi="Times New Roman"/>
          <w:i/>
          <w:sz w:val="20"/>
        </w:rPr>
        <w:t>rce Q.6</w:t>
      </w:r>
    </w:p>
    <w:p w14:paraId="1D623699" w14:textId="77777777" w:rsidR="001F7FDF" w:rsidRDefault="001F7FDF" w:rsidP="001F7FDF">
      <w:pPr>
        <w:jc w:val="both"/>
        <w:rPr>
          <w:rFonts w:ascii="Times New Roman" w:hAnsi="Times New Roman"/>
        </w:rPr>
      </w:pPr>
    </w:p>
    <w:p w14:paraId="5BD53F48" w14:textId="77777777" w:rsidR="00632CED" w:rsidRDefault="00632CED" w:rsidP="00155D34">
      <w:pPr>
        <w:spacing w:line="480" w:lineRule="auto"/>
        <w:ind w:firstLine="720"/>
        <w:jc w:val="both"/>
        <w:rPr>
          <w:rFonts w:ascii="Times New Roman" w:hAnsi="Times New Roman"/>
        </w:rPr>
      </w:pPr>
    </w:p>
    <w:p w14:paraId="1EE993BC" w14:textId="77777777" w:rsidR="00632CED" w:rsidRDefault="00632CED" w:rsidP="00155D34">
      <w:pPr>
        <w:spacing w:line="480" w:lineRule="auto"/>
        <w:ind w:firstLine="720"/>
        <w:jc w:val="both"/>
        <w:rPr>
          <w:rFonts w:ascii="Times New Roman" w:hAnsi="Times New Roman"/>
        </w:rPr>
      </w:pPr>
    </w:p>
    <w:p w14:paraId="01D56054" w14:textId="77777777" w:rsidR="00632CED" w:rsidRDefault="00632CED" w:rsidP="00155D34">
      <w:pPr>
        <w:spacing w:line="480" w:lineRule="auto"/>
        <w:ind w:firstLine="720"/>
        <w:jc w:val="both"/>
        <w:rPr>
          <w:rFonts w:ascii="Times New Roman" w:hAnsi="Times New Roman"/>
        </w:rPr>
      </w:pPr>
    </w:p>
    <w:p w14:paraId="71DD1F80" w14:textId="77777777" w:rsidR="00632CED" w:rsidRDefault="00632CED" w:rsidP="00155D34">
      <w:pPr>
        <w:spacing w:line="480" w:lineRule="auto"/>
        <w:ind w:firstLine="720"/>
        <w:jc w:val="both"/>
        <w:rPr>
          <w:rFonts w:ascii="Times New Roman" w:hAnsi="Times New Roman"/>
        </w:rPr>
      </w:pPr>
    </w:p>
    <w:p w14:paraId="4B0E590E" w14:textId="0FCAC4BC" w:rsidR="001F7FDF" w:rsidRDefault="001F7FDF" w:rsidP="00155D34">
      <w:pPr>
        <w:spacing w:line="480" w:lineRule="auto"/>
        <w:ind w:firstLine="720"/>
        <w:jc w:val="both"/>
        <w:rPr>
          <w:rFonts w:ascii="Times New Roman" w:hAnsi="Times New Roman"/>
        </w:rPr>
      </w:pPr>
      <w:r>
        <w:rPr>
          <w:rFonts w:ascii="Times New Roman" w:hAnsi="Times New Roman"/>
        </w:rPr>
        <w:t xml:space="preserve">In terms of the question regarding the role of </w:t>
      </w:r>
      <w:r w:rsidR="00FE6D60">
        <w:rPr>
          <w:rFonts w:ascii="Times New Roman" w:hAnsi="Times New Roman"/>
        </w:rPr>
        <w:t>managers in co</w:t>
      </w:r>
      <w:r>
        <w:rPr>
          <w:rFonts w:ascii="Times New Roman" w:hAnsi="Times New Roman"/>
        </w:rPr>
        <w:t xml:space="preserve">nsultancy </w:t>
      </w:r>
      <w:r w:rsidR="00FE6D60">
        <w:rPr>
          <w:rFonts w:ascii="Times New Roman" w:hAnsi="Times New Roman"/>
        </w:rPr>
        <w:t xml:space="preserve">activity, </w:t>
      </w:r>
      <w:r>
        <w:rPr>
          <w:rFonts w:ascii="Times New Roman" w:hAnsi="Times New Roman"/>
        </w:rPr>
        <w:t xml:space="preserve">one </w:t>
      </w:r>
      <w:r w:rsidR="000553E8">
        <w:rPr>
          <w:rFonts w:ascii="Times New Roman" w:hAnsi="Times New Roman"/>
        </w:rPr>
        <w:t xml:space="preserve">area </w:t>
      </w:r>
      <w:r>
        <w:rPr>
          <w:rFonts w:ascii="Times New Roman" w:hAnsi="Times New Roman"/>
        </w:rPr>
        <w:t xml:space="preserve">that interested us was to assess who had financial discretion in the hiring of consultants. </w:t>
      </w:r>
      <w:r w:rsidR="00155D34">
        <w:rPr>
          <w:rFonts w:ascii="Times New Roman" w:hAnsi="Times New Roman"/>
        </w:rPr>
        <w:t xml:space="preserve">MacDonald (2011) for example has argued that </w:t>
      </w:r>
      <w:r>
        <w:rPr>
          <w:rFonts w:ascii="Times New Roman" w:hAnsi="Times New Roman"/>
        </w:rPr>
        <w:t>outsourced work was sometimes used b</w:t>
      </w:r>
      <w:r w:rsidR="00155D34">
        <w:rPr>
          <w:rFonts w:ascii="Times New Roman" w:hAnsi="Times New Roman"/>
        </w:rPr>
        <w:t>y managers as a way to</w:t>
      </w:r>
      <w:r>
        <w:rPr>
          <w:rFonts w:ascii="Times New Roman" w:hAnsi="Times New Roman"/>
        </w:rPr>
        <w:t xml:space="preserve"> circumvent cumbersome hiring </w:t>
      </w:r>
      <w:r w:rsidR="00155D34">
        <w:rPr>
          <w:rFonts w:ascii="Times New Roman" w:hAnsi="Times New Roman"/>
        </w:rPr>
        <w:t>procedures.</w:t>
      </w:r>
      <w:r>
        <w:rPr>
          <w:rFonts w:ascii="Times New Roman" w:hAnsi="Times New Roman"/>
        </w:rPr>
        <w:t xml:space="preserve"> In our case, o</w:t>
      </w:r>
      <w:r w:rsidR="0064082E" w:rsidRPr="008B0A1E">
        <w:rPr>
          <w:rFonts w:ascii="Times New Roman" w:hAnsi="Times New Roman"/>
        </w:rPr>
        <w:t xml:space="preserve">nly about 41% of the managers interviewed are actually </w:t>
      </w:r>
      <w:r w:rsidR="00155D34">
        <w:rPr>
          <w:rFonts w:ascii="Times New Roman" w:hAnsi="Times New Roman"/>
        </w:rPr>
        <w:t>per</w:t>
      </w:r>
      <w:r w:rsidR="000553E8">
        <w:rPr>
          <w:rFonts w:ascii="Times New Roman" w:hAnsi="Times New Roman"/>
        </w:rPr>
        <w:t>s</w:t>
      </w:r>
      <w:r w:rsidR="00155D34">
        <w:rPr>
          <w:rFonts w:ascii="Times New Roman" w:hAnsi="Times New Roman"/>
        </w:rPr>
        <w:t xml:space="preserve">onally </w:t>
      </w:r>
      <w:r w:rsidR="0064082E" w:rsidRPr="008B0A1E">
        <w:rPr>
          <w:rFonts w:ascii="Times New Roman" w:hAnsi="Times New Roman"/>
        </w:rPr>
        <w:t xml:space="preserve">responsible for </w:t>
      </w:r>
      <w:r w:rsidR="00155D34">
        <w:rPr>
          <w:rFonts w:ascii="Times New Roman" w:hAnsi="Times New Roman"/>
        </w:rPr>
        <w:t xml:space="preserve">any </w:t>
      </w:r>
      <w:r w:rsidR="0064082E" w:rsidRPr="008B0A1E">
        <w:rPr>
          <w:rFonts w:ascii="Times New Roman" w:hAnsi="Times New Roman"/>
        </w:rPr>
        <w:t xml:space="preserve">consultancy spending and among those </w:t>
      </w:r>
      <w:r w:rsidR="00155D34">
        <w:rPr>
          <w:rFonts w:ascii="Times New Roman" w:hAnsi="Times New Roman"/>
        </w:rPr>
        <w:t>personally responsible</w:t>
      </w:r>
      <w:r w:rsidR="0064082E" w:rsidRPr="008B0A1E">
        <w:rPr>
          <w:rFonts w:ascii="Times New Roman" w:hAnsi="Times New Roman"/>
        </w:rPr>
        <w:t xml:space="preserve"> most </w:t>
      </w:r>
      <w:r w:rsidR="00155D34">
        <w:rPr>
          <w:rFonts w:ascii="Times New Roman" w:hAnsi="Times New Roman"/>
        </w:rPr>
        <w:t xml:space="preserve"> </w:t>
      </w:r>
      <w:r w:rsidR="0064082E" w:rsidRPr="008B0A1E">
        <w:rPr>
          <w:rFonts w:ascii="Times New Roman" w:hAnsi="Times New Roman"/>
        </w:rPr>
        <w:t>manage</w:t>
      </w:r>
      <w:r w:rsidR="00155D34">
        <w:rPr>
          <w:rFonts w:ascii="Times New Roman" w:hAnsi="Times New Roman"/>
        </w:rPr>
        <w:t>d</w:t>
      </w:r>
      <w:r w:rsidR="0064082E" w:rsidRPr="008B0A1E">
        <w:rPr>
          <w:rFonts w:ascii="Times New Roman" w:hAnsi="Times New Roman"/>
        </w:rPr>
        <w:t xml:space="preserve"> less than 10% of the Departmental budget</w:t>
      </w:r>
      <w:r w:rsidR="00155D34">
        <w:rPr>
          <w:rFonts w:ascii="Times New Roman" w:hAnsi="Times New Roman"/>
        </w:rPr>
        <w:t xml:space="preserve"> (77%)</w:t>
      </w:r>
      <w:r w:rsidR="0064082E" w:rsidRPr="008B0A1E">
        <w:rPr>
          <w:rFonts w:ascii="Times New Roman" w:hAnsi="Times New Roman"/>
        </w:rPr>
        <w:t>.</w:t>
      </w:r>
      <w:r w:rsidR="007B7693">
        <w:rPr>
          <w:rFonts w:ascii="Times New Roman" w:hAnsi="Times New Roman"/>
        </w:rPr>
        <w:t xml:space="preserve"> In this sense the capacity to select specific consultants </w:t>
      </w:r>
      <w:r w:rsidR="00155D34">
        <w:rPr>
          <w:rFonts w:ascii="Times New Roman" w:hAnsi="Times New Roman"/>
        </w:rPr>
        <w:t>is</w:t>
      </w:r>
      <w:r w:rsidR="007B7693">
        <w:rPr>
          <w:rFonts w:ascii="Times New Roman" w:hAnsi="Times New Roman"/>
        </w:rPr>
        <w:t xml:space="preserve"> relatively fragmented. However, this </w:t>
      </w:r>
      <w:r w:rsidR="00155D34">
        <w:rPr>
          <w:rFonts w:ascii="Times New Roman" w:hAnsi="Times New Roman"/>
        </w:rPr>
        <w:t>finding must</w:t>
      </w:r>
      <w:r w:rsidR="007B7693">
        <w:rPr>
          <w:rFonts w:ascii="Times New Roman" w:hAnsi="Times New Roman"/>
        </w:rPr>
        <w:t xml:space="preserve"> be balanced against the </w:t>
      </w:r>
      <w:r w:rsidR="00155D34">
        <w:rPr>
          <w:rFonts w:ascii="Times New Roman" w:hAnsi="Times New Roman"/>
        </w:rPr>
        <w:t>size of consu</w:t>
      </w:r>
      <w:r w:rsidR="007B7693">
        <w:rPr>
          <w:rFonts w:ascii="Times New Roman" w:hAnsi="Times New Roman"/>
        </w:rPr>
        <w:t>lting budget</w:t>
      </w:r>
      <w:r w:rsidR="00155D34">
        <w:rPr>
          <w:rFonts w:ascii="Times New Roman" w:hAnsi="Times New Roman"/>
        </w:rPr>
        <w:t>s</w:t>
      </w:r>
      <w:r w:rsidR="007B7693">
        <w:rPr>
          <w:rFonts w:ascii="Times New Roman" w:hAnsi="Times New Roman"/>
        </w:rPr>
        <w:t xml:space="preserve"> available to the </w:t>
      </w:r>
      <w:r w:rsidR="00155D34">
        <w:rPr>
          <w:rFonts w:ascii="Times New Roman" w:hAnsi="Times New Roman"/>
        </w:rPr>
        <w:t>different</w:t>
      </w:r>
      <w:r w:rsidR="007B7693">
        <w:rPr>
          <w:rFonts w:ascii="Times New Roman" w:hAnsi="Times New Roman"/>
        </w:rPr>
        <w:t xml:space="preserve"> agencies and departments,</w:t>
      </w:r>
      <w:r w:rsidR="00155D34">
        <w:rPr>
          <w:rFonts w:ascii="Times New Roman" w:hAnsi="Times New Roman"/>
        </w:rPr>
        <w:t xml:space="preserve"> as</w:t>
      </w:r>
      <w:r w:rsidR="0064082E" w:rsidRPr="008B0A1E">
        <w:rPr>
          <w:rFonts w:ascii="Times New Roman" w:hAnsi="Times New Roman"/>
        </w:rPr>
        <w:t xml:space="preserve"> there is a split between Departments that invest less than $100,000.00 per year (37.1%) on consultancy and those that spend more than $500,000.00 per year (36.0%)</w:t>
      </w:r>
      <w:r w:rsidR="00155D34">
        <w:rPr>
          <w:rFonts w:ascii="Times New Roman" w:hAnsi="Times New Roman"/>
        </w:rPr>
        <w:t xml:space="preserve"> (See Chart 3)</w:t>
      </w:r>
      <w:r w:rsidR="0064082E" w:rsidRPr="008B0A1E">
        <w:rPr>
          <w:rFonts w:ascii="Times New Roman" w:hAnsi="Times New Roman"/>
        </w:rPr>
        <w:t>. This trend may indicate that the provision of consulting services is polarizing towards either ver</w:t>
      </w:r>
      <w:r w:rsidR="00155D34">
        <w:rPr>
          <w:rFonts w:ascii="Times New Roman" w:hAnsi="Times New Roman"/>
        </w:rPr>
        <w:t>y large or very small contracts (Howlett and Migone 2013a).</w:t>
      </w:r>
      <w:r w:rsidR="0064082E" w:rsidRPr="008B0A1E">
        <w:rPr>
          <w:rFonts w:ascii="Times New Roman" w:hAnsi="Times New Roman"/>
        </w:rPr>
        <w:t xml:space="preserve"> </w:t>
      </w:r>
    </w:p>
    <w:p w14:paraId="007B39B1" w14:textId="77777777" w:rsidR="001F7FDF" w:rsidRDefault="00155D34" w:rsidP="001F7FDF">
      <w:pPr>
        <w:jc w:val="both"/>
        <w:rPr>
          <w:rFonts w:ascii="Times New Roman" w:hAnsi="Times New Roman"/>
        </w:rPr>
      </w:pPr>
      <w:r>
        <w:rPr>
          <w:rFonts w:ascii="Times New Roman" w:hAnsi="Times New Roman"/>
          <w:i/>
        </w:rPr>
        <w:t xml:space="preserve">Chart 3 </w:t>
      </w:r>
      <w:r w:rsidR="00D64979">
        <w:rPr>
          <w:rFonts w:ascii="Times New Roman" w:hAnsi="Times New Roman"/>
          <w:i/>
        </w:rPr>
        <w:t>Yearly Consultancy Budget</w:t>
      </w:r>
    </w:p>
    <w:p w14:paraId="1260F958" w14:textId="77777777" w:rsidR="0064082E" w:rsidRPr="008B0A1E" w:rsidRDefault="001F7FDF" w:rsidP="001F7FDF">
      <w:pPr>
        <w:jc w:val="both"/>
        <w:rPr>
          <w:rFonts w:ascii="Times New Roman" w:hAnsi="Times New Roman"/>
        </w:rPr>
      </w:pPr>
      <w:r w:rsidRPr="001F7FDF">
        <w:rPr>
          <w:rFonts w:ascii="Times New Roman" w:hAnsi="Times New Roman"/>
          <w:noProof/>
        </w:rPr>
        <w:drawing>
          <wp:inline distT="0" distB="0" distL="0" distR="0" wp14:anchorId="039EF9ED" wp14:editId="04E6B485">
            <wp:extent cx="4765040" cy="2712720"/>
            <wp:effectExtent l="0" t="0" r="10160" b="5080"/>
            <wp:docPr id="13" name="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4A67BC" w14:textId="77777777" w:rsidR="001F7FDF" w:rsidRDefault="001F7FDF" w:rsidP="001F7FDF">
      <w:pPr>
        <w:jc w:val="both"/>
        <w:rPr>
          <w:rFonts w:ascii="Times New Roman" w:hAnsi="Times New Roman"/>
          <w:i/>
          <w:sz w:val="20"/>
        </w:rPr>
      </w:pPr>
      <w:r w:rsidRPr="008B0A1E">
        <w:rPr>
          <w:rFonts w:ascii="Times New Roman" w:hAnsi="Times New Roman"/>
          <w:i/>
          <w:sz w:val="20"/>
        </w:rPr>
        <w:t>Sou</w:t>
      </w:r>
      <w:r>
        <w:rPr>
          <w:rFonts w:ascii="Times New Roman" w:hAnsi="Times New Roman"/>
          <w:i/>
          <w:sz w:val="20"/>
        </w:rPr>
        <w:t>rce Q.6</w:t>
      </w:r>
    </w:p>
    <w:p w14:paraId="1A7A5035" w14:textId="77777777" w:rsidR="0064082E" w:rsidRPr="008B0A1E" w:rsidRDefault="0064082E" w:rsidP="001F7FDF">
      <w:pPr>
        <w:jc w:val="both"/>
        <w:rPr>
          <w:rFonts w:ascii="Times New Roman" w:hAnsi="Times New Roman"/>
        </w:rPr>
      </w:pPr>
    </w:p>
    <w:p w14:paraId="6163C639" w14:textId="70EA290D" w:rsidR="00155D34" w:rsidRDefault="00D7246C" w:rsidP="00D64979">
      <w:pPr>
        <w:spacing w:line="480" w:lineRule="auto"/>
        <w:jc w:val="both"/>
        <w:rPr>
          <w:rFonts w:ascii="Times New Roman" w:hAnsi="Times New Roman"/>
        </w:rPr>
      </w:pPr>
      <w:r>
        <w:rPr>
          <w:rFonts w:ascii="Times New Roman" w:hAnsi="Times New Roman"/>
        </w:rPr>
        <w:t>In the following charts we have cross-tabulated the results for question 7 (which asked whether or not a policy manager was responsible for spending) with the Departments’ budget</w:t>
      </w:r>
      <w:r w:rsidR="0009664C">
        <w:rPr>
          <w:rFonts w:ascii="Times New Roman" w:hAnsi="Times New Roman"/>
        </w:rPr>
        <w:t xml:space="preserve"> (see Charts 4 and Table 1)</w:t>
      </w:r>
    </w:p>
    <w:p w14:paraId="4BB86D68" w14:textId="271307CC" w:rsidR="00435B4E" w:rsidRPr="00E63379" w:rsidRDefault="00D454BD" w:rsidP="00E63379">
      <w:pPr>
        <w:jc w:val="both"/>
        <w:rPr>
          <w:rFonts w:ascii="Times New Roman" w:hAnsi="Times New Roman"/>
          <w:i/>
        </w:rPr>
      </w:pPr>
      <w:r w:rsidRPr="00E63379">
        <w:rPr>
          <w:rFonts w:ascii="Times New Roman" w:hAnsi="Times New Roman"/>
          <w:i/>
        </w:rPr>
        <w:t xml:space="preserve">Chart </w:t>
      </w:r>
      <w:r w:rsidR="0009664C">
        <w:rPr>
          <w:rFonts w:ascii="Times New Roman" w:hAnsi="Times New Roman"/>
          <w:i/>
        </w:rPr>
        <w:t>4</w:t>
      </w:r>
      <w:r w:rsidRPr="00E63379">
        <w:rPr>
          <w:rFonts w:ascii="Times New Roman" w:hAnsi="Times New Roman"/>
          <w:i/>
        </w:rPr>
        <w:t xml:space="preserve"> Cross-tabulation</w:t>
      </w:r>
    </w:p>
    <w:p w14:paraId="7D4A1821" w14:textId="77777777" w:rsidR="00435B4E" w:rsidRDefault="00435B4E" w:rsidP="00E63379">
      <w:pPr>
        <w:jc w:val="both"/>
        <w:rPr>
          <w:rFonts w:ascii="Times New Roman" w:hAnsi="Times New Roman"/>
        </w:rPr>
      </w:pPr>
      <w:r w:rsidRPr="00E63379">
        <w:rPr>
          <w:rFonts w:ascii="Times New Roman" w:hAnsi="Times New Roman"/>
          <w:noProof/>
        </w:rPr>
        <w:drawing>
          <wp:inline distT="0" distB="0" distL="0" distR="0" wp14:anchorId="21A8075E" wp14:editId="462F6BB4">
            <wp:extent cx="5486400" cy="3878580"/>
            <wp:effectExtent l="25400" t="25400" r="0" b="762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C92AA" w14:textId="77777777" w:rsidR="00435B4E" w:rsidRPr="00E63379" w:rsidRDefault="00D454BD" w:rsidP="00E63379">
      <w:pPr>
        <w:jc w:val="both"/>
        <w:rPr>
          <w:rFonts w:ascii="Times New Roman" w:hAnsi="Times New Roman"/>
          <w:i/>
          <w:sz w:val="20"/>
        </w:rPr>
      </w:pPr>
      <w:r w:rsidRPr="00E63379">
        <w:rPr>
          <w:rFonts w:ascii="Times New Roman" w:hAnsi="Times New Roman"/>
          <w:i/>
          <w:sz w:val="20"/>
        </w:rPr>
        <w:t>Number of Respondents</w:t>
      </w:r>
    </w:p>
    <w:p w14:paraId="11E35429" w14:textId="77777777" w:rsidR="00D7246C" w:rsidRDefault="00D7246C" w:rsidP="00D7246C">
      <w:pPr>
        <w:jc w:val="both"/>
        <w:rPr>
          <w:rFonts w:ascii="Times New Roman" w:hAnsi="Times New Roman"/>
        </w:rPr>
      </w:pPr>
    </w:p>
    <w:p w14:paraId="5920588C" w14:textId="486E429F" w:rsidR="00435B4E" w:rsidRPr="00E63379" w:rsidRDefault="00D454BD" w:rsidP="00E63379">
      <w:pPr>
        <w:jc w:val="both"/>
        <w:rPr>
          <w:rFonts w:ascii="Times New Roman" w:hAnsi="Times New Roman"/>
          <w:i/>
        </w:rPr>
      </w:pPr>
      <w:r w:rsidRPr="00E63379">
        <w:rPr>
          <w:rFonts w:ascii="Times New Roman" w:hAnsi="Times New Roman"/>
          <w:i/>
        </w:rPr>
        <w:t xml:space="preserve">Table </w:t>
      </w:r>
      <w:r w:rsidR="0009664C">
        <w:rPr>
          <w:rFonts w:ascii="Times New Roman" w:hAnsi="Times New Roman"/>
          <w:i/>
        </w:rPr>
        <w:t xml:space="preserve">1 </w:t>
      </w:r>
      <w:r w:rsidR="00D7246C">
        <w:rPr>
          <w:rFonts w:ascii="Times New Roman" w:hAnsi="Times New Roman"/>
          <w:i/>
        </w:rPr>
        <w:t xml:space="preserve">Cross-Tabulation </w:t>
      </w:r>
    </w:p>
    <w:tbl>
      <w:tblPr>
        <w:tblW w:w="8647" w:type="dxa"/>
        <w:tblInd w:w="92" w:type="dxa"/>
        <w:tblLook w:val="0000" w:firstRow="0" w:lastRow="0" w:firstColumn="0" w:lastColumn="0" w:noHBand="0" w:noVBand="0"/>
      </w:tblPr>
      <w:tblGrid>
        <w:gridCol w:w="3946"/>
        <w:gridCol w:w="1164"/>
        <w:gridCol w:w="1164"/>
        <w:gridCol w:w="1245"/>
        <w:gridCol w:w="1245"/>
      </w:tblGrid>
      <w:tr w:rsidR="00D7246C" w:rsidRPr="00D7246C" w14:paraId="02491E0B" w14:textId="77777777" w:rsidTr="00E63379">
        <w:trPr>
          <w:trHeight w:val="506"/>
        </w:trPr>
        <w:tc>
          <w:tcPr>
            <w:tcW w:w="8647" w:type="dxa"/>
            <w:gridSpan w:val="5"/>
            <w:tcBorders>
              <w:top w:val="nil"/>
              <w:left w:val="nil"/>
              <w:bottom w:val="nil"/>
              <w:right w:val="nil"/>
            </w:tcBorders>
            <w:shd w:val="clear" w:color="auto" w:fill="DDDDDD"/>
            <w:vAlign w:val="center"/>
          </w:tcPr>
          <w:p w14:paraId="48F1E0C7" w14:textId="77777777" w:rsidR="00D7246C" w:rsidRPr="00D7246C" w:rsidRDefault="00D7246C" w:rsidP="00D7246C">
            <w:pPr>
              <w:rPr>
                <w:rFonts w:ascii="Microsoft Sans Serif" w:hAnsi="Microsoft Sans Serif" w:cs="Microsoft Sans Serif"/>
                <w:b/>
                <w:bCs/>
                <w:sz w:val="20"/>
                <w:szCs w:val="20"/>
              </w:rPr>
            </w:pPr>
            <w:r w:rsidRPr="00D7246C">
              <w:rPr>
                <w:rFonts w:ascii="Microsoft Sans Serif" w:hAnsi="Microsoft Sans Serif" w:cs="Microsoft Sans Serif"/>
                <w:b/>
                <w:bCs/>
                <w:sz w:val="20"/>
                <w:szCs w:val="20"/>
              </w:rPr>
              <w:t>What is your Department's annual budget for consultancies?</w:t>
            </w:r>
          </w:p>
        </w:tc>
      </w:tr>
      <w:tr w:rsidR="00D7246C" w:rsidRPr="00D7246C" w14:paraId="5AB46DF1" w14:textId="77777777" w:rsidTr="00E63379">
        <w:trPr>
          <w:trHeight w:val="506"/>
        </w:trPr>
        <w:tc>
          <w:tcPr>
            <w:tcW w:w="3967" w:type="dxa"/>
            <w:tcBorders>
              <w:top w:val="nil"/>
              <w:left w:val="nil"/>
              <w:bottom w:val="nil"/>
              <w:right w:val="nil"/>
            </w:tcBorders>
            <w:shd w:val="clear" w:color="auto" w:fill="DDDDDD"/>
            <w:noWrap/>
            <w:vAlign w:val="bottom"/>
          </w:tcPr>
          <w:p w14:paraId="4A12471D"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 </w:t>
            </w:r>
          </w:p>
        </w:tc>
        <w:tc>
          <w:tcPr>
            <w:tcW w:w="2340" w:type="dxa"/>
            <w:gridSpan w:val="2"/>
            <w:tcBorders>
              <w:top w:val="nil"/>
              <w:left w:val="nil"/>
              <w:bottom w:val="nil"/>
              <w:right w:val="nil"/>
            </w:tcBorders>
            <w:shd w:val="clear" w:color="auto" w:fill="CCE5CD"/>
            <w:vAlign w:val="center"/>
          </w:tcPr>
          <w:p w14:paraId="3A3F0971" w14:textId="77777777" w:rsidR="00D7246C" w:rsidRPr="00D7246C" w:rsidRDefault="00D7246C" w:rsidP="00D7246C">
            <w:pPr>
              <w:jc w:val="cente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Are you responsible for any consultancy spending in your department?</w:t>
            </w:r>
          </w:p>
        </w:tc>
        <w:tc>
          <w:tcPr>
            <w:tcW w:w="2340" w:type="dxa"/>
            <w:gridSpan w:val="2"/>
            <w:tcBorders>
              <w:top w:val="nil"/>
              <w:left w:val="nil"/>
              <w:bottom w:val="nil"/>
              <w:right w:val="nil"/>
            </w:tcBorders>
            <w:shd w:val="clear" w:color="auto" w:fill="DDDDDD"/>
            <w:noWrap/>
            <w:vAlign w:val="bottom"/>
          </w:tcPr>
          <w:p w14:paraId="1F59FFBB"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 </w:t>
            </w:r>
          </w:p>
        </w:tc>
      </w:tr>
      <w:tr w:rsidR="00D7246C" w:rsidRPr="00D7246C" w14:paraId="43C33EC1" w14:textId="77777777">
        <w:trPr>
          <w:trHeight w:val="607"/>
        </w:trPr>
        <w:tc>
          <w:tcPr>
            <w:tcW w:w="3967" w:type="dxa"/>
            <w:tcBorders>
              <w:top w:val="nil"/>
              <w:left w:val="nil"/>
              <w:bottom w:val="nil"/>
              <w:right w:val="nil"/>
            </w:tcBorders>
            <w:shd w:val="clear" w:color="auto" w:fill="DEE9F7"/>
            <w:vAlign w:val="center"/>
          </w:tcPr>
          <w:p w14:paraId="56EA9B8E" w14:textId="77777777" w:rsidR="00D7246C" w:rsidRPr="00D7246C" w:rsidRDefault="00D7246C" w:rsidP="00D7246C">
            <w:pP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Answer Options</w:t>
            </w:r>
          </w:p>
        </w:tc>
        <w:tc>
          <w:tcPr>
            <w:tcW w:w="1170" w:type="dxa"/>
            <w:tcBorders>
              <w:top w:val="nil"/>
              <w:left w:val="nil"/>
              <w:bottom w:val="nil"/>
              <w:right w:val="nil"/>
            </w:tcBorders>
            <w:shd w:val="clear" w:color="auto" w:fill="CCE5CD"/>
            <w:vAlign w:val="center"/>
          </w:tcPr>
          <w:p w14:paraId="015E6ABC" w14:textId="77777777" w:rsidR="00D7246C" w:rsidRPr="00D7246C" w:rsidRDefault="00D7246C" w:rsidP="00D7246C">
            <w:pPr>
              <w:jc w:val="cente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Yes</w:t>
            </w:r>
          </w:p>
        </w:tc>
        <w:tc>
          <w:tcPr>
            <w:tcW w:w="1170" w:type="dxa"/>
            <w:tcBorders>
              <w:top w:val="nil"/>
              <w:left w:val="nil"/>
              <w:bottom w:val="nil"/>
              <w:right w:val="nil"/>
            </w:tcBorders>
            <w:shd w:val="clear" w:color="auto" w:fill="CCE5CD"/>
            <w:vAlign w:val="center"/>
          </w:tcPr>
          <w:p w14:paraId="1E31611A" w14:textId="77777777" w:rsidR="00D7246C" w:rsidRPr="00D7246C" w:rsidRDefault="00D7246C" w:rsidP="00D7246C">
            <w:pPr>
              <w:jc w:val="cente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No</w:t>
            </w:r>
          </w:p>
        </w:tc>
        <w:tc>
          <w:tcPr>
            <w:tcW w:w="1170" w:type="dxa"/>
            <w:tcBorders>
              <w:top w:val="nil"/>
              <w:left w:val="nil"/>
              <w:bottom w:val="nil"/>
              <w:right w:val="nil"/>
            </w:tcBorders>
            <w:shd w:val="clear" w:color="auto" w:fill="CDD8E6"/>
            <w:vAlign w:val="center"/>
          </w:tcPr>
          <w:p w14:paraId="6766DBC4" w14:textId="77777777" w:rsidR="00D7246C" w:rsidRPr="00D7246C" w:rsidRDefault="00D7246C" w:rsidP="00D7246C">
            <w:pPr>
              <w:jc w:val="cente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Response Percent</w:t>
            </w:r>
          </w:p>
        </w:tc>
        <w:tc>
          <w:tcPr>
            <w:tcW w:w="1170" w:type="dxa"/>
            <w:tcBorders>
              <w:top w:val="nil"/>
              <w:left w:val="nil"/>
              <w:bottom w:val="nil"/>
              <w:right w:val="nil"/>
            </w:tcBorders>
            <w:shd w:val="clear" w:color="auto" w:fill="CDD8E6"/>
            <w:vAlign w:val="center"/>
          </w:tcPr>
          <w:p w14:paraId="7009D1D1" w14:textId="77777777" w:rsidR="00D7246C" w:rsidRPr="00D7246C" w:rsidRDefault="00D7246C" w:rsidP="00D7246C">
            <w:pPr>
              <w:jc w:val="center"/>
              <w:rPr>
                <w:rFonts w:ascii="Microsoft Sans Serif" w:hAnsi="Microsoft Sans Serif" w:cs="Microsoft Sans Serif"/>
                <w:b/>
                <w:bCs/>
                <w:color w:val="000000"/>
                <w:sz w:val="20"/>
                <w:szCs w:val="20"/>
              </w:rPr>
            </w:pPr>
            <w:r w:rsidRPr="00D7246C">
              <w:rPr>
                <w:rFonts w:ascii="Microsoft Sans Serif" w:hAnsi="Microsoft Sans Serif" w:cs="Microsoft Sans Serif"/>
                <w:b/>
                <w:bCs/>
                <w:color w:val="000000"/>
                <w:sz w:val="20"/>
                <w:szCs w:val="20"/>
              </w:rPr>
              <w:t>Response Count</w:t>
            </w:r>
          </w:p>
        </w:tc>
      </w:tr>
      <w:tr w:rsidR="00D7246C" w:rsidRPr="00D7246C" w14:paraId="2EB8C796" w14:textId="77777777" w:rsidTr="00E63379">
        <w:trPr>
          <w:trHeight w:val="243"/>
        </w:trPr>
        <w:tc>
          <w:tcPr>
            <w:tcW w:w="3967" w:type="dxa"/>
            <w:tcBorders>
              <w:top w:val="nil"/>
              <w:left w:val="nil"/>
              <w:bottom w:val="nil"/>
              <w:right w:val="nil"/>
            </w:tcBorders>
            <w:shd w:val="clear" w:color="auto" w:fill="EEEEEE"/>
            <w:noWrap/>
            <w:vAlign w:val="bottom"/>
          </w:tcPr>
          <w:p w14:paraId="344B4775"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&lt;$100,000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47012912"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23</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2918204"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10</w:t>
            </w:r>
          </w:p>
        </w:tc>
        <w:tc>
          <w:tcPr>
            <w:tcW w:w="1170" w:type="dxa"/>
            <w:tcBorders>
              <w:top w:val="nil"/>
              <w:left w:val="nil"/>
              <w:bottom w:val="nil"/>
              <w:right w:val="nil"/>
            </w:tcBorders>
            <w:shd w:val="clear" w:color="auto" w:fill="EEEEEE"/>
            <w:noWrap/>
            <w:vAlign w:val="center"/>
          </w:tcPr>
          <w:p w14:paraId="73358B32"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37.5%</w:t>
            </w:r>
          </w:p>
        </w:tc>
        <w:tc>
          <w:tcPr>
            <w:tcW w:w="1170" w:type="dxa"/>
            <w:tcBorders>
              <w:top w:val="nil"/>
              <w:left w:val="nil"/>
              <w:bottom w:val="nil"/>
              <w:right w:val="nil"/>
            </w:tcBorders>
            <w:shd w:val="clear" w:color="auto" w:fill="DEE9F7"/>
            <w:noWrap/>
            <w:vAlign w:val="center"/>
          </w:tcPr>
          <w:p w14:paraId="682A02C2"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33</w:t>
            </w:r>
          </w:p>
        </w:tc>
      </w:tr>
      <w:tr w:rsidR="00D7246C" w:rsidRPr="00D7246C" w14:paraId="6D80572A" w14:textId="77777777" w:rsidTr="00E63379">
        <w:trPr>
          <w:trHeight w:val="243"/>
        </w:trPr>
        <w:tc>
          <w:tcPr>
            <w:tcW w:w="3967" w:type="dxa"/>
            <w:tcBorders>
              <w:top w:val="nil"/>
              <w:left w:val="nil"/>
              <w:bottom w:val="nil"/>
              <w:right w:val="nil"/>
            </w:tcBorders>
            <w:shd w:val="clear" w:color="auto" w:fill="EEEEEE"/>
            <w:noWrap/>
            <w:vAlign w:val="bottom"/>
          </w:tcPr>
          <w:p w14:paraId="01CD89AE"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$100,000 - $250,000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452796ED"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10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AD5DD37"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5</w:t>
            </w:r>
          </w:p>
        </w:tc>
        <w:tc>
          <w:tcPr>
            <w:tcW w:w="1170" w:type="dxa"/>
            <w:tcBorders>
              <w:top w:val="nil"/>
              <w:left w:val="nil"/>
              <w:bottom w:val="nil"/>
              <w:right w:val="nil"/>
            </w:tcBorders>
            <w:shd w:val="clear" w:color="auto" w:fill="EEEEEE"/>
            <w:noWrap/>
            <w:vAlign w:val="center"/>
          </w:tcPr>
          <w:p w14:paraId="19944CAB"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17.0%</w:t>
            </w:r>
          </w:p>
        </w:tc>
        <w:tc>
          <w:tcPr>
            <w:tcW w:w="1170" w:type="dxa"/>
            <w:tcBorders>
              <w:top w:val="nil"/>
              <w:left w:val="nil"/>
              <w:bottom w:val="nil"/>
              <w:right w:val="nil"/>
            </w:tcBorders>
            <w:shd w:val="clear" w:color="auto" w:fill="DEE9F7"/>
            <w:noWrap/>
            <w:vAlign w:val="center"/>
          </w:tcPr>
          <w:p w14:paraId="694DECBF"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15</w:t>
            </w:r>
          </w:p>
        </w:tc>
      </w:tr>
      <w:tr w:rsidR="00D7246C" w:rsidRPr="00D7246C" w14:paraId="2BA4F27E" w14:textId="77777777" w:rsidTr="00E63379">
        <w:trPr>
          <w:trHeight w:val="243"/>
        </w:trPr>
        <w:tc>
          <w:tcPr>
            <w:tcW w:w="3967" w:type="dxa"/>
            <w:tcBorders>
              <w:top w:val="nil"/>
              <w:left w:val="nil"/>
              <w:bottom w:val="nil"/>
              <w:right w:val="nil"/>
            </w:tcBorders>
            <w:shd w:val="clear" w:color="auto" w:fill="EEEEEE"/>
            <w:noWrap/>
            <w:vAlign w:val="bottom"/>
          </w:tcPr>
          <w:p w14:paraId="6F9CE928"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$250,000- $500,000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71A989F5"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3</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01E6189"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5</w:t>
            </w:r>
          </w:p>
        </w:tc>
        <w:tc>
          <w:tcPr>
            <w:tcW w:w="1170" w:type="dxa"/>
            <w:tcBorders>
              <w:top w:val="nil"/>
              <w:left w:val="nil"/>
              <w:bottom w:val="nil"/>
              <w:right w:val="nil"/>
            </w:tcBorders>
            <w:shd w:val="clear" w:color="auto" w:fill="EEEEEE"/>
            <w:noWrap/>
            <w:vAlign w:val="center"/>
          </w:tcPr>
          <w:p w14:paraId="78907D0A"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9.1%</w:t>
            </w:r>
          </w:p>
        </w:tc>
        <w:tc>
          <w:tcPr>
            <w:tcW w:w="1170" w:type="dxa"/>
            <w:tcBorders>
              <w:top w:val="nil"/>
              <w:left w:val="nil"/>
              <w:bottom w:val="nil"/>
              <w:right w:val="nil"/>
            </w:tcBorders>
            <w:shd w:val="clear" w:color="auto" w:fill="DEE9F7"/>
            <w:noWrap/>
            <w:vAlign w:val="center"/>
          </w:tcPr>
          <w:p w14:paraId="5A19D248"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8</w:t>
            </w:r>
          </w:p>
        </w:tc>
      </w:tr>
      <w:tr w:rsidR="00D7246C" w:rsidRPr="00D7246C" w14:paraId="25F1CF9F" w14:textId="77777777" w:rsidTr="00E63379">
        <w:trPr>
          <w:trHeight w:val="243"/>
        </w:trPr>
        <w:tc>
          <w:tcPr>
            <w:tcW w:w="3967" w:type="dxa"/>
            <w:tcBorders>
              <w:top w:val="nil"/>
              <w:left w:val="nil"/>
              <w:bottom w:val="nil"/>
              <w:right w:val="nil"/>
            </w:tcBorders>
            <w:shd w:val="clear" w:color="auto" w:fill="EEEEEE"/>
            <w:noWrap/>
            <w:vAlign w:val="bottom"/>
          </w:tcPr>
          <w:p w14:paraId="71F7998C" w14:textId="77777777" w:rsidR="00D7246C" w:rsidRPr="00D7246C" w:rsidRDefault="00D7246C" w:rsidP="00D7246C">
            <w:pPr>
              <w:rPr>
                <w:rFonts w:ascii="Microsoft Sans Serif" w:hAnsi="Microsoft Sans Serif" w:cs="Microsoft Sans Serif"/>
                <w:sz w:val="20"/>
                <w:szCs w:val="20"/>
              </w:rPr>
            </w:pPr>
            <w:r w:rsidRPr="00D7246C">
              <w:rPr>
                <w:rFonts w:ascii="Microsoft Sans Serif" w:hAnsi="Microsoft Sans Serif" w:cs="Microsoft Sans Serif"/>
                <w:sz w:val="20"/>
                <w:szCs w:val="20"/>
              </w:rPr>
              <w:t>&gt; $500,000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42CA7E87"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20</w:t>
            </w:r>
          </w:p>
        </w:tc>
        <w:tc>
          <w:tcPr>
            <w:tcW w:w="1170" w:type="dxa"/>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6D64E5D2"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12</w:t>
            </w:r>
          </w:p>
        </w:tc>
        <w:tc>
          <w:tcPr>
            <w:tcW w:w="1170" w:type="dxa"/>
            <w:tcBorders>
              <w:top w:val="nil"/>
              <w:left w:val="nil"/>
              <w:bottom w:val="nil"/>
              <w:right w:val="nil"/>
            </w:tcBorders>
            <w:shd w:val="clear" w:color="auto" w:fill="EEEEEE"/>
            <w:noWrap/>
            <w:vAlign w:val="center"/>
          </w:tcPr>
          <w:p w14:paraId="52D18EE4"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36.4%</w:t>
            </w:r>
          </w:p>
        </w:tc>
        <w:tc>
          <w:tcPr>
            <w:tcW w:w="1170" w:type="dxa"/>
            <w:tcBorders>
              <w:top w:val="nil"/>
              <w:left w:val="nil"/>
              <w:bottom w:val="nil"/>
              <w:right w:val="nil"/>
            </w:tcBorders>
            <w:shd w:val="clear" w:color="auto" w:fill="DEE9F7"/>
            <w:noWrap/>
            <w:vAlign w:val="center"/>
          </w:tcPr>
          <w:p w14:paraId="4C63A65B" w14:textId="77777777" w:rsidR="00D7246C" w:rsidRPr="00D7246C" w:rsidRDefault="00D7246C" w:rsidP="00D7246C">
            <w:pPr>
              <w:jc w:val="center"/>
              <w:rPr>
                <w:rFonts w:ascii="Microsoft Sans Serif" w:hAnsi="Microsoft Sans Serif" w:cs="Microsoft Sans Serif"/>
                <w:sz w:val="20"/>
                <w:szCs w:val="20"/>
              </w:rPr>
            </w:pPr>
            <w:r w:rsidRPr="00D7246C">
              <w:rPr>
                <w:rFonts w:ascii="Microsoft Sans Serif" w:hAnsi="Microsoft Sans Serif" w:cs="Microsoft Sans Serif"/>
                <w:sz w:val="20"/>
                <w:szCs w:val="20"/>
              </w:rPr>
              <w:t>32</w:t>
            </w:r>
          </w:p>
        </w:tc>
      </w:tr>
    </w:tbl>
    <w:p w14:paraId="48B6C314" w14:textId="77777777" w:rsidR="00D7246C" w:rsidRDefault="00D7246C" w:rsidP="00D64979">
      <w:pPr>
        <w:spacing w:line="480" w:lineRule="auto"/>
        <w:jc w:val="both"/>
        <w:rPr>
          <w:rFonts w:ascii="Times New Roman" w:hAnsi="Times New Roman"/>
        </w:rPr>
      </w:pPr>
    </w:p>
    <w:p w14:paraId="2666B893" w14:textId="48FEB2D7" w:rsidR="00ED39A7" w:rsidRDefault="00D7246C" w:rsidP="00ED39A7">
      <w:pPr>
        <w:spacing w:line="480" w:lineRule="auto"/>
        <w:jc w:val="both"/>
        <w:rPr>
          <w:rFonts w:ascii="Times New Roman" w:hAnsi="Times New Roman"/>
        </w:rPr>
      </w:pPr>
      <w:r>
        <w:rPr>
          <w:rFonts w:ascii="Times New Roman" w:hAnsi="Times New Roman"/>
        </w:rPr>
        <w:t xml:space="preserve"> </w:t>
      </w:r>
      <w:r w:rsidR="00B451FC">
        <w:rPr>
          <w:rFonts w:ascii="Times New Roman" w:hAnsi="Times New Roman"/>
        </w:rPr>
        <w:t>If we further cross-tabulate the percentage of consulting budget supervised by the policy manager by the Department’s annual budget</w:t>
      </w:r>
      <w:r w:rsidR="00734C49">
        <w:rPr>
          <w:rFonts w:ascii="Times New Roman" w:hAnsi="Times New Roman"/>
        </w:rPr>
        <w:t xml:space="preserve"> for consultancies we see that 62.5% of managers who supervise more that 75% of their budget are concentrated in the less than $100,000.00 (5 managers), while the rest (3 managers) fall in the category of more than $500,000.00. </w:t>
      </w:r>
      <w:r w:rsidR="00E93AF0">
        <w:rPr>
          <w:rFonts w:ascii="Times New Roman" w:hAnsi="Times New Roman"/>
        </w:rPr>
        <w:t xml:space="preserve">The same parabolic distribution holds for the less than 10% category. </w:t>
      </w:r>
    </w:p>
    <w:p w14:paraId="4DC39EDE" w14:textId="77777777" w:rsidR="0009664C" w:rsidRDefault="0009664C" w:rsidP="00ED39A7">
      <w:pPr>
        <w:spacing w:line="480" w:lineRule="auto"/>
        <w:jc w:val="both"/>
        <w:rPr>
          <w:rFonts w:ascii="Times New Roman" w:hAnsi="Times New Roman"/>
        </w:rPr>
      </w:pPr>
    </w:p>
    <w:p w14:paraId="64B27EB7" w14:textId="77777777" w:rsidR="0009664C" w:rsidRDefault="0009664C" w:rsidP="00ED39A7">
      <w:pPr>
        <w:spacing w:line="480" w:lineRule="auto"/>
        <w:jc w:val="both"/>
        <w:rPr>
          <w:rFonts w:ascii="Microsoft Sans Serif" w:hAnsi="Microsoft Sans Serif" w:cs="Microsoft Sans Serif"/>
          <w:b/>
          <w:bCs/>
          <w:sz w:val="20"/>
          <w:szCs w:val="20"/>
        </w:rPr>
      </w:pPr>
      <w:r>
        <w:rPr>
          <w:rFonts w:ascii="Times New Roman" w:hAnsi="Times New Roman"/>
        </w:rPr>
        <w:t>Chart 6 – Range of Departmental Spending on Consultancies</w:t>
      </w:r>
    </w:p>
    <w:p w14:paraId="2EB42B0B" w14:textId="77777777" w:rsidR="00ED39A7" w:rsidRDefault="00435B4E" w:rsidP="00ED39A7">
      <w:pPr>
        <w:spacing w:line="480" w:lineRule="auto"/>
        <w:jc w:val="both"/>
        <w:rPr>
          <w:rFonts w:ascii="Times New Roman" w:hAnsi="Times New Roman"/>
        </w:rPr>
      </w:pPr>
      <w:r w:rsidRPr="00E63379">
        <w:rPr>
          <w:rFonts w:ascii="Times New Roman" w:hAnsi="Times New Roman"/>
          <w:noProof/>
        </w:rPr>
        <w:drawing>
          <wp:inline distT="0" distB="0" distL="0" distR="0" wp14:anchorId="2443A7F7" wp14:editId="528F84D3">
            <wp:extent cx="5486400" cy="4114800"/>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14:paraId="50E40270" w14:textId="77777777" w:rsidR="00D7246C" w:rsidRDefault="00246C28" w:rsidP="00D64979">
      <w:pPr>
        <w:spacing w:line="480" w:lineRule="auto"/>
        <w:jc w:val="both"/>
        <w:rPr>
          <w:rFonts w:ascii="Times New Roman" w:hAnsi="Times New Roman"/>
        </w:rPr>
      </w:pPr>
      <w:r>
        <w:rPr>
          <w:rFonts w:ascii="Times New Roman" w:hAnsi="Times New Roman"/>
        </w:rPr>
        <w:t xml:space="preserve">Below we present the table that organizes these same numbers. Once again we notice the polarization of consultancy budgets in either rather large or rather small </w:t>
      </w:r>
      <w:r w:rsidR="005B4724">
        <w:rPr>
          <w:rFonts w:ascii="Times New Roman" w:hAnsi="Times New Roman"/>
        </w:rPr>
        <w:t xml:space="preserve">categories and the fragmentation of the decision-making sources in terms of control of budgets.  </w:t>
      </w:r>
    </w:p>
    <w:p w14:paraId="563E5A6D" w14:textId="77777777" w:rsidR="00E93AF0" w:rsidRDefault="00E93AF0" w:rsidP="00D64979">
      <w:pPr>
        <w:spacing w:line="480" w:lineRule="auto"/>
        <w:jc w:val="both"/>
        <w:rPr>
          <w:rFonts w:ascii="Times New Roman" w:hAnsi="Times New Roman"/>
        </w:rPr>
      </w:pPr>
    </w:p>
    <w:p w14:paraId="311FFC56" w14:textId="77777777" w:rsidR="00E93AF0" w:rsidRDefault="00E93AF0" w:rsidP="00D64979">
      <w:pPr>
        <w:spacing w:line="480" w:lineRule="auto"/>
        <w:jc w:val="both"/>
        <w:rPr>
          <w:rFonts w:ascii="Times New Roman" w:hAnsi="Times New Roman"/>
        </w:rPr>
      </w:pPr>
    </w:p>
    <w:p w14:paraId="332048EF" w14:textId="77777777" w:rsidR="00E93AF0" w:rsidRDefault="0009664C" w:rsidP="00D64979">
      <w:pPr>
        <w:spacing w:line="480" w:lineRule="auto"/>
        <w:jc w:val="both"/>
        <w:rPr>
          <w:rFonts w:ascii="Times New Roman" w:hAnsi="Times New Roman"/>
        </w:rPr>
      </w:pPr>
      <w:r>
        <w:rPr>
          <w:rFonts w:ascii="Times New Roman" w:hAnsi="Times New Roman"/>
        </w:rPr>
        <w:t>Table 2 – Levels of Managerial Repsonsibility</w:t>
      </w:r>
    </w:p>
    <w:tbl>
      <w:tblPr>
        <w:tblW w:w="5000" w:type="pct"/>
        <w:tblLook w:val="0000" w:firstRow="0" w:lastRow="0" w:firstColumn="0" w:lastColumn="0" w:noHBand="0" w:noVBand="0"/>
      </w:tblPr>
      <w:tblGrid>
        <w:gridCol w:w="3020"/>
        <w:gridCol w:w="1000"/>
        <w:gridCol w:w="767"/>
        <w:gridCol w:w="767"/>
        <w:gridCol w:w="800"/>
        <w:gridCol w:w="1251"/>
        <w:gridCol w:w="1251"/>
      </w:tblGrid>
      <w:tr w:rsidR="00381D96" w:rsidRPr="00381D96" w14:paraId="63409B94" w14:textId="77777777" w:rsidTr="00E63379">
        <w:trPr>
          <w:trHeight w:val="500"/>
        </w:trPr>
        <w:tc>
          <w:tcPr>
            <w:tcW w:w="5000" w:type="pct"/>
            <w:gridSpan w:val="7"/>
            <w:tcBorders>
              <w:top w:val="nil"/>
              <w:left w:val="nil"/>
              <w:bottom w:val="nil"/>
              <w:right w:val="nil"/>
            </w:tcBorders>
            <w:shd w:val="clear" w:color="auto" w:fill="DDDDDD"/>
            <w:vAlign w:val="center"/>
          </w:tcPr>
          <w:p w14:paraId="789ABC8E" w14:textId="77777777" w:rsidR="00381D96" w:rsidRPr="00381D96" w:rsidRDefault="00381D96" w:rsidP="00381D96">
            <w:pPr>
              <w:rPr>
                <w:rFonts w:ascii="Microsoft Sans Serif" w:hAnsi="Microsoft Sans Serif" w:cs="Microsoft Sans Serif"/>
                <w:b/>
                <w:bCs/>
                <w:sz w:val="20"/>
                <w:szCs w:val="20"/>
              </w:rPr>
            </w:pPr>
            <w:r w:rsidRPr="00381D96">
              <w:rPr>
                <w:rFonts w:ascii="Microsoft Sans Serif" w:hAnsi="Microsoft Sans Serif" w:cs="Microsoft Sans Serif"/>
                <w:b/>
                <w:bCs/>
                <w:sz w:val="20"/>
                <w:szCs w:val="20"/>
              </w:rPr>
              <w:t>What is your Department's annual budget for consultancies?</w:t>
            </w:r>
          </w:p>
        </w:tc>
      </w:tr>
      <w:tr w:rsidR="00381D96" w:rsidRPr="00381D96" w14:paraId="26670B44" w14:textId="77777777" w:rsidTr="00E63379">
        <w:trPr>
          <w:trHeight w:val="500"/>
        </w:trPr>
        <w:tc>
          <w:tcPr>
            <w:tcW w:w="1805" w:type="pct"/>
            <w:tcBorders>
              <w:top w:val="nil"/>
              <w:left w:val="nil"/>
              <w:bottom w:val="nil"/>
              <w:right w:val="nil"/>
            </w:tcBorders>
            <w:shd w:val="clear" w:color="auto" w:fill="DDDDDD"/>
            <w:noWrap/>
            <w:vAlign w:val="bottom"/>
          </w:tcPr>
          <w:p w14:paraId="409D70AE"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 </w:t>
            </w:r>
          </w:p>
        </w:tc>
        <w:tc>
          <w:tcPr>
            <w:tcW w:w="2130" w:type="pct"/>
            <w:gridSpan w:val="4"/>
            <w:tcBorders>
              <w:top w:val="nil"/>
              <w:left w:val="nil"/>
              <w:bottom w:val="nil"/>
              <w:right w:val="nil"/>
            </w:tcBorders>
            <w:shd w:val="clear" w:color="auto" w:fill="CCE5CD"/>
            <w:vAlign w:val="center"/>
          </w:tcPr>
          <w:p w14:paraId="72F89CF9"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If so, what percentage of your Department's annual consulting budget do you supervise?</w:t>
            </w:r>
          </w:p>
        </w:tc>
        <w:tc>
          <w:tcPr>
            <w:tcW w:w="1065" w:type="pct"/>
            <w:gridSpan w:val="2"/>
            <w:tcBorders>
              <w:top w:val="nil"/>
              <w:left w:val="nil"/>
              <w:bottom w:val="nil"/>
              <w:right w:val="nil"/>
            </w:tcBorders>
            <w:shd w:val="clear" w:color="auto" w:fill="DDDDDD"/>
            <w:noWrap/>
            <w:vAlign w:val="bottom"/>
          </w:tcPr>
          <w:p w14:paraId="46AAED86"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 </w:t>
            </w:r>
          </w:p>
        </w:tc>
      </w:tr>
      <w:tr w:rsidR="00381D96" w:rsidRPr="00381D96" w14:paraId="7D9098F5" w14:textId="77777777" w:rsidTr="00E63379">
        <w:trPr>
          <w:trHeight w:val="600"/>
        </w:trPr>
        <w:tc>
          <w:tcPr>
            <w:tcW w:w="1805" w:type="pct"/>
            <w:tcBorders>
              <w:top w:val="nil"/>
              <w:left w:val="nil"/>
              <w:bottom w:val="nil"/>
              <w:right w:val="nil"/>
            </w:tcBorders>
            <w:shd w:val="clear" w:color="auto" w:fill="DEE9F7"/>
            <w:vAlign w:val="center"/>
          </w:tcPr>
          <w:p w14:paraId="5A280485" w14:textId="77777777" w:rsidR="00381D96" w:rsidRPr="00381D96" w:rsidRDefault="00381D96" w:rsidP="00381D96">
            <w:pP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Answer Options</w:t>
            </w:r>
          </w:p>
        </w:tc>
        <w:tc>
          <w:tcPr>
            <w:tcW w:w="532" w:type="pct"/>
            <w:tcBorders>
              <w:top w:val="nil"/>
              <w:left w:val="nil"/>
              <w:bottom w:val="nil"/>
              <w:right w:val="nil"/>
            </w:tcBorders>
            <w:shd w:val="clear" w:color="auto" w:fill="CCE5CD"/>
            <w:vAlign w:val="center"/>
          </w:tcPr>
          <w:p w14:paraId="4C4253D5"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&lt;10 percent</w:t>
            </w:r>
          </w:p>
        </w:tc>
        <w:tc>
          <w:tcPr>
            <w:tcW w:w="532" w:type="pct"/>
            <w:tcBorders>
              <w:top w:val="nil"/>
              <w:left w:val="nil"/>
              <w:bottom w:val="nil"/>
              <w:right w:val="nil"/>
            </w:tcBorders>
            <w:shd w:val="clear" w:color="auto" w:fill="CCE5CD"/>
            <w:vAlign w:val="center"/>
          </w:tcPr>
          <w:p w14:paraId="2796F357"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10-25%</w:t>
            </w:r>
          </w:p>
        </w:tc>
        <w:tc>
          <w:tcPr>
            <w:tcW w:w="532" w:type="pct"/>
            <w:tcBorders>
              <w:top w:val="nil"/>
              <w:left w:val="nil"/>
              <w:bottom w:val="nil"/>
              <w:right w:val="nil"/>
            </w:tcBorders>
            <w:shd w:val="clear" w:color="auto" w:fill="CCE5CD"/>
            <w:vAlign w:val="center"/>
          </w:tcPr>
          <w:p w14:paraId="650205BA"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25-75%</w:t>
            </w:r>
          </w:p>
        </w:tc>
        <w:tc>
          <w:tcPr>
            <w:tcW w:w="532" w:type="pct"/>
            <w:tcBorders>
              <w:top w:val="nil"/>
              <w:left w:val="nil"/>
              <w:bottom w:val="nil"/>
              <w:right w:val="nil"/>
            </w:tcBorders>
            <w:shd w:val="clear" w:color="auto" w:fill="CCE5CD"/>
            <w:vAlign w:val="center"/>
          </w:tcPr>
          <w:p w14:paraId="19A2A875"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&gt;75%</w:t>
            </w:r>
          </w:p>
        </w:tc>
        <w:tc>
          <w:tcPr>
            <w:tcW w:w="532" w:type="pct"/>
            <w:tcBorders>
              <w:top w:val="nil"/>
              <w:left w:val="nil"/>
              <w:bottom w:val="nil"/>
              <w:right w:val="nil"/>
            </w:tcBorders>
            <w:shd w:val="clear" w:color="auto" w:fill="CDD8E6"/>
            <w:vAlign w:val="center"/>
          </w:tcPr>
          <w:p w14:paraId="10255BF6"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Response Percent</w:t>
            </w:r>
          </w:p>
        </w:tc>
        <w:tc>
          <w:tcPr>
            <w:tcW w:w="532" w:type="pct"/>
            <w:tcBorders>
              <w:top w:val="nil"/>
              <w:left w:val="nil"/>
              <w:bottom w:val="nil"/>
              <w:right w:val="nil"/>
            </w:tcBorders>
            <w:shd w:val="clear" w:color="auto" w:fill="CDD8E6"/>
            <w:vAlign w:val="center"/>
          </w:tcPr>
          <w:p w14:paraId="04459C7A" w14:textId="77777777" w:rsidR="00381D96" w:rsidRPr="00381D96" w:rsidRDefault="00381D96" w:rsidP="00381D96">
            <w:pPr>
              <w:jc w:val="center"/>
              <w:rPr>
                <w:rFonts w:ascii="Microsoft Sans Serif" w:hAnsi="Microsoft Sans Serif" w:cs="Microsoft Sans Serif"/>
                <w:b/>
                <w:bCs/>
                <w:color w:val="000000"/>
                <w:sz w:val="20"/>
                <w:szCs w:val="20"/>
              </w:rPr>
            </w:pPr>
            <w:r w:rsidRPr="00381D96">
              <w:rPr>
                <w:rFonts w:ascii="Microsoft Sans Serif" w:hAnsi="Microsoft Sans Serif" w:cs="Microsoft Sans Serif"/>
                <w:b/>
                <w:bCs/>
                <w:color w:val="000000"/>
                <w:sz w:val="20"/>
                <w:szCs w:val="20"/>
              </w:rPr>
              <w:t>Response Count</w:t>
            </w:r>
          </w:p>
        </w:tc>
      </w:tr>
      <w:tr w:rsidR="00381D96" w:rsidRPr="00381D96" w14:paraId="25AAAFC1" w14:textId="77777777" w:rsidTr="00E63379">
        <w:trPr>
          <w:trHeight w:val="240"/>
        </w:trPr>
        <w:tc>
          <w:tcPr>
            <w:tcW w:w="1805" w:type="pct"/>
            <w:tcBorders>
              <w:top w:val="nil"/>
              <w:left w:val="nil"/>
              <w:bottom w:val="nil"/>
              <w:right w:val="nil"/>
            </w:tcBorders>
            <w:shd w:val="clear" w:color="auto" w:fill="EEEEEE"/>
            <w:noWrap/>
            <w:vAlign w:val="bottom"/>
          </w:tcPr>
          <w:p w14:paraId="2F48E864"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&lt;$100,000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B0801B2"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17</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D35DA70"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3</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3609CD2F"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31115D64"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5</w:t>
            </w:r>
          </w:p>
        </w:tc>
        <w:tc>
          <w:tcPr>
            <w:tcW w:w="532" w:type="pct"/>
            <w:tcBorders>
              <w:top w:val="nil"/>
              <w:left w:val="nil"/>
              <w:bottom w:val="nil"/>
              <w:right w:val="nil"/>
            </w:tcBorders>
            <w:shd w:val="clear" w:color="auto" w:fill="EEEEEE"/>
            <w:noWrap/>
            <w:vAlign w:val="center"/>
          </w:tcPr>
          <w:p w14:paraId="02388C97"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39.4%</w:t>
            </w:r>
          </w:p>
        </w:tc>
        <w:tc>
          <w:tcPr>
            <w:tcW w:w="532" w:type="pct"/>
            <w:tcBorders>
              <w:top w:val="nil"/>
              <w:left w:val="nil"/>
              <w:bottom w:val="nil"/>
              <w:right w:val="nil"/>
            </w:tcBorders>
            <w:shd w:val="clear" w:color="auto" w:fill="DEE9F7"/>
            <w:noWrap/>
            <w:vAlign w:val="center"/>
          </w:tcPr>
          <w:p w14:paraId="4E76265D"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26</w:t>
            </w:r>
          </w:p>
        </w:tc>
      </w:tr>
      <w:tr w:rsidR="00381D96" w:rsidRPr="00381D96" w14:paraId="4D888A58" w14:textId="77777777" w:rsidTr="00E63379">
        <w:trPr>
          <w:trHeight w:val="240"/>
        </w:trPr>
        <w:tc>
          <w:tcPr>
            <w:tcW w:w="1805" w:type="pct"/>
            <w:tcBorders>
              <w:top w:val="nil"/>
              <w:left w:val="nil"/>
              <w:bottom w:val="nil"/>
              <w:right w:val="nil"/>
            </w:tcBorders>
            <w:shd w:val="clear" w:color="auto" w:fill="EEEEEE"/>
            <w:noWrap/>
            <w:vAlign w:val="bottom"/>
          </w:tcPr>
          <w:p w14:paraId="20255429"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$100,000 - $250,000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531A6297"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8</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36450F73"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3</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26E8B64"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35E64249"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0</w:t>
            </w:r>
          </w:p>
        </w:tc>
        <w:tc>
          <w:tcPr>
            <w:tcW w:w="532" w:type="pct"/>
            <w:tcBorders>
              <w:top w:val="nil"/>
              <w:left w:val="nil"/>
              <w:bottom w:val="nil"/>
              <w:right w:val="nil"/>
            </w:tcBorders>
            <w:shd w:val="clear" w:color="auto" w:fill="EEEEEE"/>
            <w:noWrap/>
            <w:vAlign w:val="center"/>
          </w:tcPr>
          <w:p w14:paraId="5D89C4E2"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16.7%</w:t>
            </w:r>
          </w:p>
        </w:tc>
        <w:tc>
          <w:tcPr>
            <w:tcW w:w="532" w:type="pct"/>
            <w:tcBorders>
              <w:top w:val="nil"/>
              <w:left w:val="nil"/>
              <w:bottom w:val="nil"/>
              <w:right w:val="nil"/>
            </w:tcBorders>
            <w:shd w:val="clear" w:color="auto" w:fill="DEE9F7"/>
            <w:noWrap/>
            <w:vAlign w:val="center"/>
          </w:tcPr>
          <w:p w14:paraId="0952EE31"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11</w:t>
            </w:r>
          </w:p>
        </w:tc>
      </w:tr>
      <w:tr w:rsidR="00381D96" w:rsidRPr="00381D96" w14:paraId="64C33493" w14:textId="77777777" w:rsidTr="00E63379">
        <w:trPr>
          <w:trHeight w:val="240"/>
        </w:trPr>
        <w:tc>
          <w:tcPr>
            <w:tcW w:w="1805" w:type="pct"/>
            <w:tcBorders>
              <w:top w:val="nil"/>
              <w:left w:val="nil"/>
              <w:bottom w:val="nil"/>
              <w:right w:val="nil"/>
            </w:tcBorders>
            <w:shd w:val="clear" w:color="auto" w:fill="EEEEEE"/>
            <w:noWrap/>
            <w:vAlign w:val="bottom"/>
          </w:tcPr>
          <w:p w14:paraId="0A3022D2"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$250,000- $500,000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73B48563"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5</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6F6E2285"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6F2F3662"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0146475D"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0</w:t>
            </w:r>
          </w:p>
        </w:tc>
        <w:tc>
          <w:tcPr>
            <w:tcW w:w="532" w:type="pct"/>
            <w:tcBorders>
              <w:top w:val="nil"/>
              <w:left w:val="nil"/>
              <w:bottom w:val="nil"/>
              <w:right w:val="nil"/>
            </w:tcBorders>
            <w:shd w:val="clear" w:color="auto" w:fill="EEEEEE"/>
            <w:noWrap/>
            <w:vAlign w:val="center"/>
          </w:tcPr>
          <w:p w14:paraId="002C74B5"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9.1%</w:t>
            </w:r>
          </w:p>
        </w:tc>
        <w:tc>
          <w:tcPr>
            <w:tcW w:w="532" w:type="pct"/>
            <w:tcBorders>
              <w:top w:val="nil"/>
              <w:left w:val="nil"/>
              <w:bottom w:val="nil"/>
              <w:right w:val="nil"/>
            </w:tcBorders>
            <w:shd w:val="clear" w:color="auto" w:fill="DEE9F7"/>
            <w:noWrap/>
            <w:vAlign w:val="center"/>
          </w:tcPr>
          <w:p w14:paraId="448606E4"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6</w:t>
            </w:r>
          </w:p>
        </w:tc>
      </w:tr>
      <w:tr w:rsidR="00381D96" w:rsidRPr="00381D96" w14:paraId="4BE9905D" w14:textId="77777777" w:rsidTr="00E63379">
        <w:trPr>
          <w:trHeight w:val="240"/>
        </w:trPr>
        <w:tc>
          <w:tcPr>
            <w:tcW w:w="1805" w:type="pct"/>
            <w:tcBorders>
              <w:top w:val="nil"/>
              <w:left w:val="nil"/>
              <w:bottom w:val="nil"/>
              <w:right w:val="nil"/>
            </w:tcBorders>
            <w:shd w:val="clear" w:color="auto" w:fill="EEEEEE"/>
            <w:noWrap/>
            <w:vAlign w:val="bottom"/>
          </w:tcPr>
          <w:p w14:paraId="2FC4D461" w14:textId="77777777" w:rsidR="00381D96" w:rsidRPr="00381D96" w:rsidRDefault="00381D96" w:rsidP="00381D96">
            <w:pPr>
              <w:rPr>
                <w:rFonts w:ascii="Microsoft Sans Serif" w:hAnsi="Microsoft Sans Serif" w:cs="Microsoft Sans Serif"/>
                <w:sz w:val="20"/>
                <w:szCs w:val="20"/>
              </w:rPr>
            </w:pPr>
            <w:r w:rsidRPr="00381D96">
              <w:rPr>
                <w:rFonts w:ascii="Microsoft Sans Serif" w:hAnsi="Microsoft Sans Serif" w:cs="Microsoft Sans Serif"/>
                <w:sz w:val="20"/>
                <w:szCs w:val="20"/>
              </w:rPr>
              <w:t>&gt; $500,000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2D145313"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19</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7FC3BE77"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1</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36ECEC6"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0</w:t>
            </w:r>
          </w:p>
        </w:tc>
        <w:tc>
          <w:tcPr>
            <w:tcW w:w="532" w:type="pct"/>
            <w:tcBorders>
              <w:top w:val="single" w:sz="4" w:space="0" w:color="FFFFFF"/>
              <w:left w:val="single" w:sz="4" w:space="0" w:color="FFFFFF"/>
              <w:bottom w:val="single" w:sz="4" w:space="0" w:color="FFFFFF"/>
              <w:right w:val="single" w:sz="4" w:space="0" w:color="FFFFFF"/>
            </w:tcBorders>
            <w:shd w:val="clear" w:color="auto" w:fill="DEF7DF"/>
            <w:noWrap/>
            <w:vAlign w:val="center"/>
          </w:tcPr>
          <w:p w14:paraId="1CFF3901"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3</w:t>
            </w:r>
          </w:p>
        </w:tc>
        <w:tc>
          <w:tcPr>
            <w:tcW w:w="532" w:type="pct"/>
            <w:tcBorders>
              <w:top w:val="nil"/>
              <w:left w:val="nil"/>
              <w:bottom w:val="nil"/>
              <w:right w:val="nil"/>
            </w:tcBorders>
            <w:shd w:val="clear" w:color="auto" w:fill="EEEEEE"/>
            <w:noWrap/>
            <w:vAlign w:val="center"/>
          </w:tcPr>
          <w:p w14:paraId="063AA240"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34.8%</w:t>
            </w:r>
          </w:p>
        </w:tc>
        <w:tc>
          <w:tcPr>
            <w:tcW w:w="532" w:type="pct"/>
            <w:tcBorders>
              <w:top w:val="nil"/>
              <w:left w:val="nil"/>
              <w:bottom w:val="nil"/>
              <w:right w:val="nil"/>
            </w:tcBorders>
            <w:shd w:val="clear" w:color="auto" w:fill="DEE9F7"/>
            <w:noWrap/>
            <w:vAlign w:val="center"/>
          </w:tcPr>
          <w:p w14:paraId="126F1E49" w14:textId="77777777" w:rsidR="00381D96" w:rsidRPr="00381D96" w:rsidRDefault="00381D96" w:rsidP="00381D96">
            <w:pPr>
              <w:jc w:val="center"/>
              <w:rPr>
                <w:rFonts w:ascii="Microsoft Sans Serif" w:hAnsi="Microsoft Sans Serif" w:cs="Microsoft Sans Serif"/>
                <w:sz w:val="20"/>
                <w:szCs w:val="20"/>
              </w:rPr>
            </w:pPr>
            <w:r w:rsidRPr="00381D96">
              <w:rPr>
                <w:rFonts w:ascii="Microsoft Sans Serif" w:hAnsi="Microsoft Sans Serif" w:cs="Microsoft Sans Serif"/>
                <w:sz w:val="20"/>
                <w:szCs w:val="20"/>
              </w:rPr>
              <w:t>23</w:t>
            </w:r>
          </w:p>
        </w:tc>
      </w:tr>
    </w:tbl>
    <w:p w14:paraId="5A542251" w14:textId="77777777" w:rsidR="00D7246C" w:rsidRDefault="00D7246C" w:rsidP="00D64979">
      <w:pPr>
        <w:spacing w:line="480" w:lineRule="auto"/>
        <w:jc w:val="both"/>
        <w:rPr>
          <w:rFonts w:ascii="Times New Roman" w:hAnsi="Times New Roman"/>
        </w:rPr>
      </w:pPr>
    </w:p>
    <w:p w14:paraId="68B551CB" w14:textId="77777777" w:rsidR="00D7246C" w:rsidRDefault="005B4724" w:rsidP="00D64979">
      <w:pPr>
        <w:spacing w:line="480" w:lineRule="auto"/>
        <w:jc w:val="both"/>
        <w:rPr>
          <w:rFonts w:ascii="Times New Roman" w:hAnsi="Times New Roman"/>
        </w:rPr>
      </w:pPr>
      <w:r>
        <w:rPr>
          <w:rFonts w:ascii="Times New Roman" w:hAnsi="Times New Roman"/>
        </w:rPr>
        <w:t>In the next subsection we observe the type of expectations that the managers had about future trends in consultancy uses.</w:t>
      </w:r>
    </w:p>
    <w:p w14:paraId="0F0FC6D2" w14:textId="77777777" w:rsidR="00D7246C" w:rsidRDefault="00D7246C" w:rsidP="00D64979">
      <w:pPr>
        <w:spacing w:line="480" w:lineRule="auto"/>
        <w:jc w:val="both"/>
        <w:rPr>
          <w:rFonts w:ascii="Times New Roman" w:hAnsi="Times New Roman"/>
        </w:rPr>
      </w:pPr>
    </w:p>
    <w:p w14:paraId="6B4B133E" w14:textId="77777777" w:rsidR="00155D34" w:rsidRPr="00155D34" w:rsidRDefault="00155D34" w:rsidP="00155D34">
      <w:pPr>
        <w:spacing w:line="480" w:lineRule="auto"/>
        <w:jc w:val="both"/>
        <w:rPr>
          <w:rFonts w:ascii="Times New Roman" w:hAnsi="Times New Roman"/>
          <w:i/>
        </w:rPr>
      </w:pPr>
      <w:r w:rsidRPr="00155D34">
        <w:rPr>
          <w:rFonts w:ascii="Times New Roman" w:hAnsi="Times New Roman"/>
          <w:i/>
        </w:rPr>
        <w:t>Drivers of the Use of Consultants</w:t>
      </w:r>
      <w:r w:rsidR="002C0329">
        <w:rPr>
          <w:rFonts w:ascii="Times New Roman" w:hAnsi="Times New Roman"/>
          <w:i/>
        </w:rPr>
        <w:t xml:space="preserve"> and Future Expectations and Trends</w:t>
      </w:r>
    </w:p>
    <w:p w14:paraId="3A2E3121" w14:textId="6E1FBD37" w:rsidR="00D64979" w:rsidRDefault="00155D34" w:rsidP="00D64979">
      <w:pPr>
        <w:spacing w:line="480" w:lineRule="auto"/>
        <w:jc w:val="both"/>
        <w:rPr>
          <w:rFonts w:ascii="Times New Roman" w:hAnsi="Times New Roman"/>
        </w:rPr>
      </w:pPr>
      <w:r>
        <w:rPr>
          <w:rFonts w:ascii="Times New Roman" w:hAnsi="Times New Roman"/>
        </w:rPr>
        <w:t>Question 10 addressed the drivers for consultancy demand and it</w:t>
      </w:r>
      <w:r w:rsidRPr="008B0A1E">
        <w:rPr>
          <w:rFonts w:ascii="Times New Roman" w:hAnsi="Times New Roman"/>
        </w:rPr>
        <w:t xml:space="preserve"> also seems to confirm both the research presented in </w:t>
      </w:r>
      <w:r w:rsidRPr="008B0A1E">
        <w:rPr>
          <w:rFonts w:ascii="Times New Roman" w:hAnsi="Times New Roman"/>
          <w:i/>
        </w:rPr>
        <w:t>The Shadow Public Service</w:t>
      </w:r>
      <w:r w:rsidRPr="008B0A1E">
        <w:rPr>
          <w:rFonts w:ascii="Times New Roman" w:hAnsi="Times New Roman"/>
        </w:rPr>
        <w:t xml:space="preserve"> </w:t>
      </w:r>
      <w:r>
        <w:rPr>
          <w:rFonts w:ascii="Times New Roman" w:hAnsi="Times New Roman"/>
        </w:rPr>
        <w:t xml:space="preserve">by </w:t>
      </w:r>
      <w:r w:rsidRPr="008B0A1E">
        <w:rPr>
          <w:rFonts w:ascii="Times New Roman" w:hAnsi="Times New Roman" w:cs="Times New Roman"/>
          <w:szCs w:val="20"/>
        </w:rPr>
        <w:t xml:space="preserve">Macdonald </w:t>
      </w:r>
      <w:r>
        <w:rPr>
          <w:rFonts w:ascii="Times New Roman" w:hAnsi="Times New Roman" w:cs="Times New Roman"/>
          <w:szCs w:val="20"/>
        </w:rPr>
        <w:t>(</w:t>
      </w:r>
      <w:r w:rsidRPr="008B0A1E">
        <w:rPr>
          <w:rFonts w:ascii="Times New Roman" w:hAnsi="Times New Roman" w:cs="Times New Roman"/>
          <w:szCs w:val="20"/>
        </w:rPr>
        <w:t>2011</w:t>
      </w:r>
      <w:r>
        <w:rPr>
          <w:rFonts w:ascii="Times New Roman" w:hAnsi="Times New Roman"/>
        </w:rPr>
        <w:t xml:space="preserve">) </w:t>
      </w:r>
      <w:r w:rsidRPr="008B0A1E">
        <w:rPr>
          <w:rFonts w:ascii="Times New Roman" w:hAnsi="Times New Roman"/>
        </w:rPr>
        <w:t xml:space="preserve">and </w:t>
      </w:r>
      <w:r>
        <w:rPr>
          <w:rFonts w:ascii="Times New Roman" w:hAnsi="Times New Roman"/>
        </w:rPr>
        <w:t>by Howlett and Migone (2013a)</w:t>
      </w:r>
      <w:r w:rsidRPr="008B0A1E">
        <w:rPr>
          <w:rFonts w:ascii="Times New Roman" w:hAnsi="Times New Roman"/>
        </w:rPr>
        <w:t xml:space="preserve"> in that, while the most common answer (85.8%) was “Need for specialized expertise” when we sum two other answers (Human Resource Shortfalls (64.2%) and Temporary Work Issues (33.0%)) the human resou</w:t>
      </w:r>
      <w:r>
        <w:rPr>
          <w:rFonts w:ascii="Times New Roman" w:hAnsi="Times New Roman"/>
        </w:rPr>
        <w:t xml:space="preserve">rce area appears to be dominant (see Chart </w:t>
      </w:r>
      <w:r w:rsidR="0009664C">
        <w:rPr>
          <w:rFonts w:ascii="Times New Roman" w:hAnsi="Times New Roman"/>
        </w:rPr>
        <w:t>7</w:t>
      </w:r>
      <w:r>
        <w:rPr>
          <w:rFonts w:ascii="Times New Roman" w:hAnsi="Times New Roman"/>
        </w:rPr>
        <w:t>).</w:t>
      </w:r>
    </w:p>
    <w:p w14:paraId="191F7F5B" w14:textId="52AAE263" w:rsidR="00D64979" w:rsidRDefault="00155D34" w:rsidP="001F7FDF">
      <w:pPr>
        <w:jc w:val="both"/>
        <w:rPr>
          <w:rFonts w:ascii="Times New Roman" w:hAnsi="Times New Roman"/>
        </w:rPr>
      </w:pPr>
      <w:r>
        <w:rPr>
          <w:rFonts w:ascii="Times New Roman" w:hAnsi="Times New Roman"/>
          <w:i/>
        </w:rPr>
        <w:t xml:space="preserve">Chart </w:t>
      </w:r>
      <w:r w:rsidR="0009664C">
        <w:rPr>
          <w:rFonts w:ascii="Times New Roman" w:hAnsi="Times New Roman"/>
          <w:i/>
        </w:rPr>
        <w:t>7</w:t>
      </w:r>
      <w:r w:rsidR="00D64979">
        <w:rPr>
          <w:rFonts w:ascii="Times New Roman" w:hAnsi="Times New Roman"/>
          <w:i/>
        </w:rPr>
        <w:t xml:space="preserve"> Drivers of Consultancy Needs</w:t>
      </w:r>
    </w:p>
    <w:p w14:paraId="68657AA8" w14:textId="77777777" w:rsidR="00D64979" w:rsidRDefault="00D64979" w:rsidP="001F7FDF">
      <w:pPr>
        <w:jc w:val="both"/>
        <w:rPr>
          <w:rFonts w:ascii="Times New Roman" w:hAnsi="Times New Roman"/>
        </w:rPr>
      </w:pPr>
      <w:r w:rsidRPr="00D64979">
        <w:rPr>
          <w:rFonts w:ascii="Times New Roman" w:hAnsi="Times New Roman"/>
          <w:noProof/>
        </w:rPr>
        <w:drawing>
          <wp:inline distT="0" distB="0" distL="0" distR="0" wp14:anchorId="66E7612D" wp14:editId="5587E2F9">
            <wp:extent cx="5486400" cy="2898775"/>
            <wp:effectExtent l="25400" t="25400" r="0" b="0"/>
            <wp:docPr id="14" name="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1F6C81" w14:textId="77777777" w:rsidR="00C01A2F" w:rsidRDefault="00D64979" w:rsidP="001F7FDF">
      <w:pPr>
        <w:jc w:val="both"/>
        <w:rPr>
          <w:rFonts w:ascii="Times New Roman" w:hAnsi="Times New Roman"/>
          <w:i/>
          <w:sz w:val="20"/>
        </w:rPr>
      </w:pPr>
      <w:r w:rsidRPr="008B0A1E">
        <w:rPr>
          <w:rFonts w:ascii="Times New Roman" w:hAnsi="Times New Roman"/>
          <w:i/>
          <w:sz w:val="20"/>
        </w:rPr>
        <w:t>Sou</w:t>
      </w:r>
      <w:r>
        <w:rPr>
          <w:rFonts w:ascii="Times New Roman" w:hAnsi="Times New Roman"/>
          <w:i/>
          <w:sz w:val="20"/>
        </w:rPr>
        <w:t>rce Q.10</w:t>
      </w:r>
    </w:p>
    <w:p w14:paraId="089252CE" w14:textId="77777777" w:rsidR="0064082E" w:rsidRPr="00C01A2F" w:rsidRDefault="0064082E" w:rsidP="001F7FDF">
      <w:pPr>
        <w:jc w:val="both"/>
        <w:rPr>
          <w:rFonts w:ascii="Times New Roman" w:hAnsi="Times New Roman"/>
          <w:i/>
          <w:sz w:val="20"/>
        </w:rPr>
      </w:pPr>
    </w:p>
    <w:p w14:paraId="707F5651" w14:textId="77777777" w:rsidR="002C0329" w:rsidRDefault="00155D34" w:rsidP="002C0329">
      <w:pPr>
        <w:spacing w:line="480" w:lineRule="auto"/>
        <w:ind w:firstLine="720"/>
        <w:jc w:val="both"/>
        <w:rPr>
          <w:rFonts w:ascii="Times New Roman" w:hAnsi="Times New Roman"/>
        </w:rPr>
      </w:pPr>
      <w:r>
        <w:rPr>
          <w:rFonts w:ascii="Times New Roman" w:hAnsi="Times New Roman"/>
        </w:rPr>
        <w:t>In the context of the discussions of evaluation practices presented above, it</w:t>
      </w:r>
      <w:r w:rsidR="0064082E" w:rsidRPr="008B0A1E">
        <w:rPr>
          <w:rFonts w:ascii="Times New Roman" w:hAnsi="Times New Roman"/>
        </w:rPr>
        <w:t xml:space="preserve"> is very interesting to note that only 16</w:t>
      </w:r>
      <w:r>
        <w:rPr>
          <w:rFonts w:ascii="Times New Roman" w:hAnsi="Times New Roman"/>
        </w:rPr>
        <w:t>% of managers indicated</w:t>
      </w:r>
      <w:r w:rsidR="0064082E" w:rsidRPr="008B0A1E">
        <w:rPr>
          <w:rFonts w:ascii="Times New Roman" w:hAnsi="Times New Roman"/>
        </w:rPr>
        <w:t xml:space="preserve"> cost savings </w:t>
      </w:r>
      <w:r>
        <w:rPr>
          <w:rFonts w:ascii="Times New Roman" w:hAnsi="Times New Roman"/>
        </w:rPr>
        <w:t>were a reason</w:t>
      </w:r>
      <w:r w:rsidR="0064082E" w:rsidRPr="008B0A1E">
        <w:rPr>
          <w:rFonts w:ascii="Times New Roman" w:hAnsi="Times New Roman"/>
        </w:rPr>
        <w:t xml:space="preserve"> for hiring consultants. It is also interesting to not</w:t>
      </w:r>
      <w:r>
        <w:rPr>
          <w:rFonts w:ascii="Times New Roman" w:hAnsi="Times New Roman"/>
        </w:rPr>
        <w:t>e</w:t>
      </w:r>
      <w:r w:rsidR="0064082E" w:rsidRPr="008B0A1E">
        <w:rPr>
          <w:rFonts w:ascii="Times New Roman" w:hAnsi="Times New Roman"/>
        </w:rPr>
        <w:t xml:space="preserve"> that 40.8% of respondents said that their department has an internal consultancy function and that in general it is either as good or better than what could be had outside of the administrative unit. </w:t>
      </w:r>
      <w:r>
        <w:rPr>
          <w:rFonts w:ascii="Times New Roman" w:hAnsi="Times New Roman"/>
        </w:rPr>
        <w:t>This suggests that consultancy contracting decisions are made on other grounds than costs, including especial</w:t>
      </w:r>
      <w:r w:rsidR="000553E8">
        <w:rPr>
          <w:rFonts w:ascii="Times New Roman" w:hAnsi="Times New Roman"/>
        </w:rPr>
        <w:t>l</w:t>
      </w:r>
      <w:r>
        <w:rPr>
          <w:rFonts w:ascii="Times New Roman" w:hAnsi="Times New Roman"/>
        </w:rPr>
        <w:t>y the need for specialized e</w:t>
      </w:r>
      <w:r w:rsidR="000553E8">
        <w:rPr>
          <w:rFonts w:ascii="Times New Roman" w:hAnsi="Times New Roman"/>
        </w:rPr>
        <w:t>x</w:t>
      </w:r>
      <w:r>
        <w:rPr>
          <w:rFonts w:ascii="Times New Roman" w:hAnsi="Times New Roman"/>
        </w:rPr>
        <w:t>pertise (cited by 86% as a key factor) and human res</w:t>
      </w:r>
      <w:r w:rsidR="002C0329">
        <w:rPr>
          <w:rFonts w:ascii="Times New Roman" w:hAnsi="Times New Roman"/>
        </w:rPr>
        <w:t xml:space="preserve">ource shortfalls (cited by 65%). </w:t>
      </w:r>
      <w:r w:rsidR="002C0329" w:rsidRPr="008B0A1E">
        <w:rPr>
          <w:rFonts w:ascii="Times New Roman" w:hAnsi="Times New Roman"/>
        </w:rPr>
        <w:t xml:space="preserve">We see </w:t>
      </w:r>
      <w:r w:rsidR="002C0329">
        <w:rPr>
          <w:rFonts w:ascii="Times New Roman" w:hAnsi="Times New Roman"/>
        </w:rPr>
        <w:t xml:space="preserve">(Table 1) </w:t>
      </w:r>
      <w:r w:rsidR="002C0329" w:rsidRPr="008B0A1E">
        <w:rPr>
          <w:rFonts w:ascii="Times New Roman" w:hAnsi="Times New Roman"/>
        </w:rPr>
        <w:t xml:space="preserve">that the highest significance is placed on timeliness, whereas cost and quality are less relevant. </w:t>
      </w:r>
    </w:p>
    <w:p w14:paraId="601F4514" w14:textId="77777777" w:rsidR="002C0329" w:rsidRPr="008B0A1E" w:rsidRDefault="002C0329" w:rsidP="002C0329">
      <w:pPr>
        <w:jc w:val="both"/>
        <w:rPr>
          <w:rFonts w:ascii="Times New Roman" w:hAnsi="Times New Roman"/>
        </w:rPr>
      </w:pPr>
    </w:p>
    <w:p w14:paraId="2AAA0096" w14:textId="00BBD01A" w:rsidR="002C0329" w:rsidRPr="008B0A1E" w:rsidRDefault="002C0329" w:rsidP="002C0329">
      <w:pPr>
        <w:jc w:val="both"/>
        <w:rPr>
          <w:rFonts w:ascii="Times New Roman" w:hAnsi="Times New Roman"/>
          <w:i/>
        </w:rPr>
      </w:pPr>
      <w:r>
        <w:rPr>
          <w:rFonts w:ascii="Times New Roman" w:hAnsi="Times New Roman"/>
          <w:i/>
        </w:rPr>
        <w:t xml:space="preserve">Table </w:t>
      </w:r>
      <w:r w:rsidR="0009664C">
        <w:rPr>
          <w:rFonts w:ascii="Times New Roman" w:hAnsi="Times New Roman"/>
          <w:i/>
        </w:rPr>
        <w:t>3</w:t>
      </w:r>
      <w:r w:rsidRPr="008B0A1E">
        <w:rPr>
          <w:rFonts w:ascii="Times New Roman" w:hAnsi="Times New Roman"/>
          <w:i/>
        </w:rPr>
        <w:t xml:space="preserve"> Priorities in Engaging Internal Vs. External Resources</w:t>
      </w:r>
    </w:p>
    <w:tbl>
      <w:tblPr>
        <w:tblW w:w="9422" w:type="dxa"/>
        <w:tblInd w:w="92" w:type="dxa"/>
        <w:tblLook w:val="0000" w:firstRow="0" w:lastRow="0" w:firstColumn="0" w:lastColumn="0" w:noHBand="0" w:noVBand="0"/>
      </w:tblPr>
      <w:tblGrid>
        <w:gridCol w:w="1343"/>
        <w:gridCol w:w="1293"/>
        <w:gridCol w:w="1295"/>
        <w:gridCol w:w="1326"/>
        <w:gridCol w:w="1293"/>
        <w:gridCol w:w="1293"/>
        <w:gridCol w:w="1579"/>
      </w:tblGrid>
      <w:tr w:rsidR="002C0329" w:rsidRPr="008B0A1E" w14:paraId="184D0E82" w14:textId="77777777">
        <w:trPr>
          <w:trHeight w:val="600"/>
        </w:trPr>
        <w:tc>
          <w:tcPr>
            <w:tcW w:w="1343" w:type="dxa"/>
            <w:tcBorders>
              <w:top w:val="nil"/>
              <w:left w:val="nil"/>
              <w:bottom w:val="nil"/>
              <w:right w:val="nil"/>
            </w:tcBorders>
            <w:shd w:val="clear" w:color="auto" w:fill="DEE9F7"/>
          </w:tcPr>
          <w:p w14:paraId="56E538AE" w14:textId="77777777" w:rsidR="002C0329" w:rsidRPr="008B0A1E" w:rsidRDefault="002C0329" w:rsidP="00953674">
            <w:pPr>
              <w:jc w:val="both"/>
              <w:rPr>
                <w:rFonts w:ascii="Times New Roman" w:hAnsi="Times New Roman"/>
                <w:b/>
                <w:bCs/>
                <w:color w:val="000000"/>
                <w:sz w:val="20"/>
                <w:szCs w:val="20"/>
              </w:rPr>
            </w:pPr>
          </w:p>
        </w:tc>
        <w:tc>
          <w:tcPr>
            <w:tcW w:w="1293" w:type="dxa"/>
            <w:tcBorders>
              <w:top w:val="nil"/>
              <w:left w:val="nil"/>
              <w:bottom w:val="nil"/>
              <w:right w:val="nil"/>
            </w:tcBorders>
            <w:shd w:val="clear" w:color="auto" w:fill="DEE9F7"/>
            <w:vAlign w:val="center"/>
          </w:tcPr>
          <w:p w14:paraId="32BC6246"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Highly significant</w:t>
            </w:r>
          </w:p>
        </w:tc>
        <w:tc>
          <w:tcPr>
            <w:tcW w:w="1295" w:type="dxa"/>
            <w:tcBorders>
              <w:top w:val="nil"/>
              <w:left w:val="nil"/>
              <w:bottom w:val="nil"/>
              <w:right w:val="nil"/>
            </w:tcBorders>
            <w:shd w:val="clear" w:color="auto" w:fill="DEE9F7"/>
            <w:vAlign w:val="center"/>
          </w:tcPr>
          <w:p w14:paraId="0012E2F6"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Somewhat significant</w:t>
            </w:r>
          </w:p>
        </w:tc>
        <w:tc>
          <w:tcPr>
            <w:tcW w:w="1326" w:type="dxa"/>
            <w:tcBorders>
              <w:top w:val="nil"/>
              <w:left w:val="nil"/>
              <w:bottom w:val="nil"/>
              <w:right w:val="nil"/>
            </w:tcBorders>
            <w:shd w:val="clear" w:color="auto" w:fill="DEE9F7"/>
            <w:vAlign w:val="center"/>
          </w:tcPr>
          <w:p w14:paraId="6F99AE70"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Significant</w:t>
            </w:r>
          </w:p>
        </w:tc>
        <w:tc>
          <w:tcPr>
            <w:tcW w:w="1293" w:type="dxa"/>
            <w:tcBorders>
              <w:top w:val="nil"/>
              <w:left w:val="nil"/>
              <w:bottom w:val="nil"/>
              <w:right w:val="nil"/>
            </w:tcBorders>
            <w:shd w:val="clear" w:color="auto" w:fill="DEE9F7"/>
            <w:vAlign w:val="center"/>
          </w:tcPr>
          <w:p w14:paraId="75C5EBEE"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Less significant</w:t>
            </w:r>
          </w:p>
        </w:tc>
        <w:tc>
          <w:tcPr>
            <w:tcW w:w="1293" w:type="dxa"/>
            <w:tcBorders>
              <w:top w:val="nil"/>
              <w:left w:val="nil"/>
              <w:bottom w:val="nil"/>
              <w:right w:val="nil"/>
            </w:tcBorders>
            <w:shd w:val="clear" w:color="auto" w:fill="DEE9F7"/>
            <w:vAlign w:val="center"/>
          </w:tcPr>
          <w:p w14:paraId="44F91102"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Not significant</w:t>
            </w:r>
          </w:p>
        </w:tc>
        <w:tc>
          <w:tcPr>
            <w:tcW w:w="1579" w:type="dxa"/>
            <w:tcBorders>
              <w:top w:val="nil"/>
              <w:left w:val="nil"/>
              <w:bottom w:val="nil"/>
              <w:right w:val="nil"/>
            </w:tcBorders>
            <w:shd w:val="clear" w:color="auto" w:fill="DEE9F7"/>
            <w:vAlign w:val="center"/>
          </w:tcPr>
          <w:p w14:paraId="220E43D5" w14:textId="77777777" w:rsidR="002C0329" w:rsidRPr="008B0A1E" w:rsidRDefault="002C0329" w:rsidP="00953674">
            <w:pPr>
              <w:jc w:val="both"/>
              <w:rPr>
                <w:rFonts w:ascii="Times New Roman" w:hAnsi="Times New Roman"/>
                <w:b/>
                <w:bCs/>
                <w:color w:val="000000"/>
                <w:sz w:val="20"/>
                <w:szCs w:val="20"/>
              </w:rPr>
            </w:pPr>
            <w:r w:rsidRPr="008B0A1E">
              <w:rPr>
                <w:rFonts w:ascii="Times New Roman" w:hAnsi="Times New Roman"/>
                <w:b/>
                <w:bCs/>
                <w:color w:val="000000"/>
                <w:sz w:val="20"/>
                <w:szCs w:val="20"/>
              </w:rPr>
              <w:t>Respondents</w:t>
            </w:r>
          </w:p>
        </w:tc>
      </w:tr>
      <w:tr w:rsidR="002C0329" w:rsidRPr="008B0A1E" w14:paraId="73687EB6" w14:textId="77777777">
        <w:trPr>
          <w:trHeight w:val="240"/>
        </w:trPr>
        <w:tc>
          <w:tcPr>
            <w:tcW w:w="1343" w:type="dxa"/>
            <w:tcBorders>
              <w:top w:val="nil"/>
              <w:left w:val="nil"/>
              <w:bottom w:val="nil"/>
              <w:right w:val="nil"/>
            </w:tcBorders>
          </w:tcPr>
          <w:p w14:paraId="5F3259AE" w14:textId="77777777" w:rsidR="002C0329" w:rsidRPr="008B0A1E" w:rsidRDefault="002C0329" w:rsidP="00953674">
            <w:pPr>
              <w:jc w:val="both"/>
              <w:rPr>
                <w:rFonts w:ascii="Times New Roman" w:hAnsi="Times New Roman"/>
                <w:b/>
                <w:sz w:val="20"/>
                <w:szCs w:val="20"/>
              </w:rPr>
            </w:pPr>
            <w:r w:rsidRPr="008B0A1E">
              <w:rPr>
                <w:rFonts w:ascii="Times New Roman" w:hAnsi="Times New Roman"/>
                <w:b/>
                <w:sz w:val="20"/>
                <w:szCs w:val="20"/>
              </w:rPr>
              <w:t>Quality</w:t>
            </w:r>
          </w:p>
        </w:tc>
        <w:tc>
          <w:tcPr>
            <w:tcW w:w="1293" w:type="dxa"/>
            <w:tcBorders>
              <w:top w:val="nil"/>
              <w:left w:val="nil"/>
              <w:bottom w:val="nil"/>
              <w:right w:val="nil"/>
            </w:tcBorders>
            <w:shd w:val="clear" w:color="auto" w:fill="auto"/>
            <w:noWrap/>
            <w:vAlign w:val="bottom"/>
          </w:tcPr>
          <w:p w14:paraId="29A75ADA"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49.40%</w:t>
            </w:r>
          </w:p>
        </w:tc>
        <w:tc>
          <w:tcPr>
            <w:tcW w:w="1295" w:type="dxa"/>
            <w:tcBorders>
              <w:top w:val="nil"/>
              <w:left w:val="nil"/>
              <w:bottom w:val="nil"/>
              <w:right w:val="nil"/>
            </w:tcBorders>
            <w:shd w:val="clear" w:color="auto" w:fill="auto"/>
            <w:noWrap/>
            <w:vAlign w:val="bottom"/>
          </w:tcPr>
          <w:p w14:paraId="14553397"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21.69%</w:t>
            </w:r>
          </w:p>
        </w:tc>
        <w:tc>
          <w:tcPr>
            <w:tcW w:w="1326" w:type="dxa"/>
            <w:tcBorders>
              <w:top w:val="nil"/>
              <w:left w:val="nil"/>
              <w:bottom w:val="nil"/>
              <w:right w:val="nil"/>
            </w:tcBorders>
            <w:shd w:val="clear" w:color="auto" w:fill="auto"/>
            <w:noWrap/>
            <w:vAlign w:val="bottom"/>
          </w:tcPr>
          <w:p w14:paraId="23A8EBE4"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18.07%</w:t>
            </w:r>
          </w:p>
        </w:tc>
        <w:tc>
          <w:tcPr>
            <w:tcW w:w="1293" w:type="dxa"/>
            <w:tcBorders>
              <w:top w:val="nil"/>
              <w:left w:val="nil"/>
              <w:bottom w:val="nil"/>
              <w:right w:val="nil"/>
            </w:tcBorders>
            <w:shd w:val="clear" w:color="auto" w:fill="auto"/>
            <w:noWrap/>
            <w:vAlign w:val="bottom"/>
          </w:tcPr>
          <w:p w14:paraId="226E60F9"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8.43%</w:t>
            </w:r>
          </w:p>
        </w:tc>
        <w:tc>
          <w:tcPr>
            <w:tcW w:w="1293" w:type="dxa"/>
            <w:tcBorders>
              <w:top w:val="nil"/>
              <w:left w:val="nil"/>
              <w:bottom w:val="nil"/>
              <w:right w:val="nil"/>
            </w:tcBorders>
            <w:shd w:val="clear" w:color="auto" w:fill="auto"/>
            <w:noWrap/>
            <w:vAlign w:val="bottom"/>
          </w:tcPr>
          <w:p w14:paraId="7F8AED72"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2.41%</w:t>
            </w:r>
          </w:p>
        </w:tc>
        <w:tc>
          <w:tcPr>
            <w:tcW w:w="1579" w:type="dxa"/>
            <w:tcBorders>
              <w:top w:val="nil"/>
              <w:left w:val="nil"/>
              <w:bottom w:val="nil"/>
              <w:right w:val="nil"/>
            </w:tcBorders>
            <w:shd w:val="clear" w:color="auto" w:fill="auto"/>
            <w:noWrap/>
            <w:vAlign w:val="bottom"/>
          </w:tcPr>
          <w:p w14:paraId="0FC42913"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83</w:t>
            </w:r>
          </w:p>
        </w:tc>
      </w:tr>
      <w:tr w:rsidR="002C0329" w:rsidRPr="008B0A1E" w14:paraId="2E4A4C68" w14:textId="77777777">
        <w:trPr>
          <w:trHeight w:val="240"/>
        </w:trPr>
        <w:tc>
          <w:tcPr>
            <w:tcW w:w="1343" w:type="dxa"/>
            <w:tcBorders>
              <w:top w:val="nil"/>
              <w:left w:val="nil"/>
              <w:bottom w:val="nil"/>
              <w:right w:val="nil"/>
            </w:tcBorders>
          </w:tcPr>
          <w:p w14:paraId="0AD210E5" w14:textId="77777777" w:rsidR="002C0329" w:rsidRPr="008B0A1E" w:rsidRDefault="002C0329" w:rsidP="00953674">
            <w:pPr>
              <w:jc w:val="both"/>
              <w:rPr>
                <w:rFonts w:ascii="Times New Roman" w:hAnsi="Times New Roman"/>
                <w:b/>
                <w:sz w:val="20"/>
                <w:szCs w:val="20"/>
              </w:rPr>
            </w:pPr>
            <w:r w:rsidRPr="008B0A1E">
              <w:rPr>
                <w:rFonts w:ascii="Times New Roman" w:hAnsi="Times New Roman"/>
                <w:b/>
                <w:sz w:val="20"/>
                <w:szCs w:val="20"/>
              </w:rPr>
              <w:t>Timeliness</w:t>
            </w:r>
          </w:p>
        </w:tc>
        <w:tc>
          <w:tcPr>
            <w:tcW w:w="1293" w:type="dxa"/>
            <w:tcBorders>
              <w:top w:val="nil"/>
              <w:left w:val="nil"/>
              <w:bottom w:val="nil"/>
              <w:right w:val="nil"/>
            </w:tcBorders>
            <w:shd w:val="clear" w:color="auto" w:fill="auto"/>
            <w:noWrap/>
            <w:vAlign w:val="bottom"/>
          </w:tcPr>
          <w:p w14:paraId="37DECF93"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60.24%</w:t>
            </w:r>
          </w:p>
        </w:tc>
        <w:tc>
          <w:tcPr>
            <w:tcW w:w="1295" w:type="dxa"/>
            <w:tcBorders>
              <w:top w:val="nil"/>
              <w:left w:val="nil"/>
              <w:bottom w:val="nil"/>
              <w:right w:val="nil"/>
            </w:tcBorders>
            <w:shd w:val="clear" w:color="auto" w:fill="auto"/>
            <w:noWrap/>
            <w:vAlign w:val="bottom"/>
          </w:tcPr>
          <w:p w14:paraId="79CDFE95"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15.66%</w:t>
            </w:r>
          </w:p>
        </w:tc>
        <w:tc>
          <w:tcPr>
            <w:tcW w:w="1326" w:type="dxa"/>
            <w:tcBorders>
              <w:top w:val="nil"/>
              <w:left w:val="nil"/>
              <w:bottom w:val="nil"/>
              <w:right w:val="nil"/>
            </w:tcBorders>
            <w:shd w:val="clear" w:color="auto" w:fill="auto"/>
            <w:noWrap/>
            <w:vAlign w:val="bottom"/>
          </w:tcPr>
          <w:p w14:paraId="6EACA591"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21.69%</w:t>
            </w:r>
          </w:p>
        </w:tc>
        <w:tc>
          <w:tcPr>
            <w:tcW w:w="1293" w:type="dxa"/>
            <w:tcBorders>
              <w:top w:val="nil"/>
              <w:left w:val="nil"/>
              <w:bottom w:val="nil"/>
              <w:right w:val="nil"/>
            </w:tcBorders>
            <w:shd w:val="clear" w:color="auto" w:fill="auto"/>
            <w:noWrap/>
            <w:vAlign w:val="bottom"/>
          </w:tcPr>
          <w:p w14:paraId="7058AD39"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1.20%</w:t>
            </w:r>
          </w:p>
        </w:tc>
        <w:tc>
          <w:tcPr>
            <w:tcW w:w="1293" w:type="dxa"/>
            <w:tcBorders>
              <w:top w:val="nil"/>
              <w:left w:val="nil"/>
              <w:bottom w:val="nil"/>
              <w:right w:val="nil"/>
            </w:tcBorders>
            <w:shd w:val="clear" w:color="auto" w:fill="auto"/>
            <w:noWrap/>
            <w:vAlign w:val="bottom"/>
          </w:tcPr>
          <w:p w14:paraId="14FA6629"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1.20%</w:t>
            </w:r>
          </w:p>
        </w:tc>
        <w:tc>
          <w:tcPr>
            <w:tcW w:w="1579" w:type="dxa"/>
            <w:tcBorders>
              <w:top w:val="nil"/>
              <w:left w:val="nil"/>
              <w:bottom w:val="nil"/>
              <w:right w:val="nil"/>
            </w:tcBorders>
            <w:shd w:val="clear" w:color="auto" w:fill="auto"/>
            <w:noWrap/>
            <w:vAlign w:val="bottom"/>
          </w:tcPr>
          <w:p w14:paraId="652DEF82"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83</w:t>
            </w:r>
          </w:p>
        </w:tc>
      </w:tr>
      <w:tr w:rsidR="002C0329" w:rsidRPr="008B0A1E" w14:paraId="40779AC4" w14:textId="77777777">
        <w:trPr>
          <w:trHeight w:val="240"/>
        </w:trPr>
        <w:tc>
          <w:tcPr>
            <w:tcW w:w="1343" w:type="dxa"/>
            <w:tcBorders>
              <w:top w:val="nil"/>
              <w:left w:val="nil"/>
              <w:bottom w:val="nil"/>
              <w:right w:val="nil"/>
            </w:tcBorders>
          </w:tcPr>
          <w:p w14:paraId="7362071F" w14:textId="77777777" w:rsidR="002C0329" w:rsidRPr="008B0A1E" w:rsidRDefault="002C0329" w:rsidP="00953674">
            <w:pPr>
              <w:jc w:val="both"/>
              <w:rPr>
                <w:rFonts w:ascii="Times New Roman" w:hAnsi="Times New Roman"/>
                <w:b/>
                <w:sz w:val="20"/>
                <w:szCs w:val="20"/>
              </w:rPr>
            </w:pPr>
            <w:r w:rsidRPr="008B0A1E">
              <w:rPr>
                <w:rFonts w:ascii="Times New Roman" w:hAnsi="Times New Roman"/>
                <w:b/>
                <w:sz w:val="20"/>
                <w:szCs w:val="20"/>
              </w:rPr>
              <w:t>Cost</w:t>
            </w:r>
          </w:p>
        </w:tc>
        <w:tc>
          <w:tcPr>
            <w:tcW w:w="1293" w:type="dxa"/>
            <w:tcBorders>
              <w:top w:val="nil"/>
              <w:left w:val="nil"/>
              <w:bottom w:val="nil"/>
              <w:right w:val="nil"/>
            </w:tcBorders>
            <w:shd w:val="clear" w:color="auto" w:fill="auto"/>
            <w:noWrap/>
            <w:vAlign w:val="bottom"/>
          </w:tcPr>
          <w:p w14:paraId="12B82C32"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50.00%</w:t>
            </w:r>
          </w:p>
        </w:tc>
        <w:tc>
          <w:tcPr>
            <w:tcW w:w="1295" w:type="dxa"/>
            <w:tcBorders>
              <w:top w:val="nil"/>
              <w:left w:val="nil"/>
              <w:bottom w:val="nil"/>
              <w:right w:val="nil"/>
            </w:tcBorders>
            <w:shd w:val="clear" w:color="auto" w:fill="auto"/>
            <w:noWrap/>
            <w:vAlign w:val="bottom"/>
          </w:tcPr>
          <w:p w14:paraId="3E843E6D"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21.95%</w:t>
            </w:r>
          </w:p>
        </w:tc>
        <w:tc>
          <w:tcPr>
            <w:tcW w:w="1326" w:type="dxa"/>
            <w:tcBorders>
              <w:top w:val="nil"/>
              <w:left w:val="nil"/>
              <w:bottom w:val="nil"/>
              <w:right w:val="nil"/>
            </w:tcBorders>
            <w:shd w:val="clear" w:color="auto" w:fill="auto"/>
            <w:noWrap/>
            <w:vAlign w:val="bottom"/>
          </w:tcPr>
          <w:p w14:paraId="725BA147"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17.07%</w:t>
            </w:r>
          </w:p>
        </w:tc>
        <w:tc>
          <w:tcPr>
            <w:tcW w:w="1293" w:type="dxa"/>
            <w:tcBorders>
              <w:top w:val="nil"/>
              <w:left w:val="nil"/>
              <w:bottom w:val="nil"/>
              <w:right w:val="nil"/>
            </w:tcBorders>
            <w:shd w:val="clear" w:color="auto" w:fill="auto"/>
            <w:noWrap/>
            <w:vAlign w:val="bottom"/>
          </w:tcPr>
          <w:p w14:paraId="40471E26"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9.76%</w:t>
            </w:r>
          </w:p>
        </w:tc>
        <w:tc>
          <w:tcPr>
            <w:tcW w:w="1293" w:type="dxa"/>
            <w:tcBorders>
              <w:top w:val="nil"/>
              <w:left w:val="nil"/>
              <w:bottom w:val="nil"/>
              <w:right w:val="nil"/>
            </w:tcBorders>
            <w:shd w:val="clear" w:color="auto" w:fill="auto"/>
            <w:noWrap/>
            <w:vAlign w:val="bottom"/>
          </w:tcPr>
          <w:p w14:paraId="035C6D4D"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1.22%</w:t>
            </w:r>
          </w:p>
        </w:tc>
        <w:tc>
          <w:tcPr>
            <w:tcW w:w="1579" w:type="dxa"/>
            <w:tcBorders>
              <w:top w:val="nil"/>
              <w:left w:val="nil"/>
              <w:bottom w:val="nil"/>
              <w:right w:val="nil"/>
            </w:tcBorders>
            <w:shd w:val="clear" w:color="auto" w:fill="auto"/>
            <w:noWrap/>
            <w:vAlign w:val="bottom"/>
          </w:tcPr>
          <w:p w14:paraId="0BD9E01E" w14:textId="77777777" w:rsidR="002C0329" w:rsidRPr="008B0A1E" w:rsidRDefault="002C0329" w:rsidP="00953674">
            <w:pPr>
              <w:jc w:val="center"/>
              <w:rPr>
                <w:rFonts w:ascii="Times New Roman" w:hAnsi="Times New Roman"/>
                <w:sz w:val="20"/>
                <w:szCs w:val="20"/>
              </w:rPr>
            </w:pPr>
            <w:r w:rsidRPr="008B0A1E">
              <w:rPr>
                <w:rFonts w:ascii="Times New Roman" w:hAnsi="Times New Roman"/>
                <w:sz w:val="20"/>
                <w:szCs w:val="20"/>
              </w:rPr>
              <w:t>82</w:t>
            </w:r>
          </w:p>
        </w:tc>
      </w:tr>
    </w:tbl>
    <w:p w14:paraId="47793010" w14:textId="77777777" w:rsidR="002C0329" w:rsidRPr="008B0A1E" w:rsidRDefault="002C0329" w:rsidP="002C0329">
      <w:pPr>
        <w:jc w:val="both"/>
        <w:rPr>
          <w:rFonts w:ascii="Times New Roman" w:hAnsi="Times New Roman"/>
        </w:rPr>
      </w:pPr>
      <w:r w:rsidRPr="008B0A1E">
        <w:rPr>
          <w:rFonts w:ascii="Times New Roman" w:hAnsi="Times New Roman"/>
          <w:i/>
          <w:sz w:val="20"/>
        </w:rPr>
        <w:t>Source Q.25</w:t>
      </w:r>
    </w:p>
    <w:p w14:paraId="0F35AE02" w14:textId="77777777" w:rsidR="002C0329" w:rsidRDefault="002C0329" w:rsidP="00C01A2F">
      <w:pPr>
        <w:spacing w:line="480" w:lineRule="auto"/>
        <w:ind w:firstLine="720"/>
        <w:jc w:val="both"/>
        <w:rPr>
          <w:rFonts w:ascii="Times New Roman" w:hAnsi="Times New Roman"/>
        </w:rPr>
      </w:pPr>
    </w:p>
    <w:p w14:paraId="19612E30" w14:textId="402B2AA5" w:rsidR="00382CF9" w:rsidRDefault="00382CF9" w:rsidP="00C01A2F">
      <w:pPr>
        <w:spacing w:line="480" w:lineRule="auto"/>
        <w:ind w:firstLine="720"/>
        <w:jc w:val="both"/>
        <w:rPr>
          <w:rFonts w:ascii="Times New Roman" w:hAnsi="Times New Roman"/>
        </w:rPr>
      </w:pPr>
      <w:r>
        <w:rPr>
          <w:rFonts w:ascii="Times New Roman" w:hAnsi="Times New Roman"/>
        </w:rPr>
        <w:t xml:space="preserve">In the next table we cross-tabulate the perception of managers on </w:t>
      </w:r>
      <w:r w:rsidRPr="00382CF9">
        <w:rPr>
          <w:rFonts w:ascii="Times New Roman" w:hAnsi="Times New Roman"/>
        </w:rPr>
        <w:t>rank</w:t>
      </w:r>
      <w:r>
        <w:rPr>
          <w:rFonts w:ascii="Times New Roman" w:hAnsi="Times New Roman"/>
        </w:rPr>
        <w:t>ing</w:t>
      </w:r>
      <w:r w:rsidRPr="00382CF9">
        <w:rPr>
          <w:rFonts w:ascii="Times New Roman" w:hAnsi="Times New Roman"/>
        </w:rPr>
        <w:t xml:space="preserve"> the pro’s and con’s (quality, timeliness, cost) of using internal resources versus external consultants</w:t>
      </w:r>
      <w:r>
        <w:rPr>
          <w:rFonts w:ascii="Times New Roman" w:hAnsi="Times New Roman"/>
        </w:rPr>
        <w:t xml:space="preserve"> with the percentage that is supervised by the manager</w:t>
      </w:r>
      <w:r w:rsidR="0009664C">
        <w:rPr>
          <w:rFonts w:ascii="Times New Roman" w:hAnsi="Times New Roman"/>
        </w:rPr>
        <w:t xml:space="preserve"> (Table 4).</w:t>
      </w:r>
    </w:p>
    <w:p w14:paraId="4035A867" w14:textId="77777777" w:rsidR="0009664C" w:rsidRDefault="0009664C" w:rsidP="00C01A2F">
      <w:pPr>
        <w:spacing w:line="480" w:lineRule="auto"/>
        <w:ind w:firstLine="720"/>
        <w:jc w:val="both"/>
        <w:rPr>
          <w:rFonts w:ascii="Times New Roman" w:hAnsi="Times New Roman"/>
        </w:rPr>
      </w:pPr>
      <w:r>
        <w:rPr>
          <w:rFonts w:ascii="Times New Roman" w:hAnsi="Times New Roman"/>
        </w:rPr>
        <w:t>Table 4 – Managerial Views of Consulting Quality by Budget Size</w:t>
      </w:r>
    </w:p>
    <w:tbl>
      <w:tblPr>
        <w:tblW w:w="5000" w:type="pct"/>
        <w:tblLook w:val="0000" w:firstRow="0" w:lastRow="0" w:firstColumn="0" w:lastColumn="0" w:noHBand="0" w:noVBand="0"/>
      </w:tblPr>
      <w:tblGrid>
        <w:gridCol w:w="1756"/>
        <w:gridCol w:w="1756"/>
        <w:gridCol w:w="1023"/>
        <w:gridCol w:w="1023"/>
        <w:gridCol w:w="1023"/>
        <w:gridCol w:w="1024"/>
        <w:gridCol w:w="1251"/>
      </w:tblGrid>
      <w:tr w:rsidR="00382CF9" w:rsidRPr="00382CF9" w14:paraId="08C35C29" w14:textId="77777777" w:rsidTr="00E63379">
        <w:trPr>
          <w:trHeight w:val="500"/>
        </w:trPr>
        <w:tc>
          <w:tcPr>
            <w:tcW w:w="2020" w:type="pct"/>
            <w:gridSpan w:val="2"/>
            <w:tcBorders>
              <w:top w:val="nil"/>
              <w:left w:val="nil"/>
              <w:bottom w:val="nil"/>
              <w:right w:val="nil"/>
            </w:tcBorders>
            <w:shd w:val="clear" w:color="auto" w:fill="DDDDDD"/>
            <w:noWrap/>
            <w:vAlign w:val="bottom"/>
          </w:tcPr>
          <w:p w14:paraId="658A3D6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2384" w:type="pct"/>
            <w:gridSpan w:val="4"/>
            <w:tcBorders>
              <w:top w:val="nil"/>
              <w:left w:val="nil"/>
              <w:bottom w:val="nil"/>
              <w:right w:val="nil"/>
            </w:tcBorders>
            <w:shd w:val="clear" w:color="auto" w:fill="CCE5CD"/>
            <w:vAlign w:val="center"/>
          </w:tcPr>
          <w:p w14:paraId="036264EC"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If so, what percentage of your Department's annual consulting budget do you supervise?</w:t>
            </w:r>
          </w:p>
        </w:tc>
        <w:tc>
          <w:tcPr>
            <w:tcW w:w="596" w:type="pct"/>
            <w:tcBorders>
              <w:top w:val="nil"/>
              <w:left w:val="nil"/>
              <w:bottom w:val="nil"/>
              <w:right w:val="nil"/>
            </w:tcBorders>
            <w:shd w:val="clear" w:color="auto" w:fill="DDDDDD"/>
            <w:noWrap/>
            <w:vAlign w:val="bottom"/>
          </w:tcPr>
          <w:p w14:paraId="70C676A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24EA32A3" w14:textId="77777777">
        <w:trPr>
          <w:trHeight w:val="600"/>
        </w:trPr>
        <w:tc>
          <w:tcPr>
            <w:tcW w:w="2020" w:type="pct"/>
            <w:gridSpan w:val="2"/>
            <w:tcBorders>
              <w:top w:val="nil"/>
              <w:left w:val="nil"/>
              <w:bottom w:val="nil"/>
              <w:right w:val="nil"/>
            </w:tcBorders>
            <w:shd w:val="clear" w:color="auto" w:fill="DEE9F7"/>
            <w:vAlign w:val="center"/>
          </w:tcPr>
          <w:p w14:paraId="49B342DF" w14:textId="77777777" w:rsidR="00382CF9" w:rsidRPr="00382CF9" w:rsidRDefault="00382CF9" w:rsidP="00382CF9">
            <w:pP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Answer Options</w:t>
            </w:r>
          </w:p>
        </w:tc>
        <w:tc>
          <w:tcPr>
            <w:tcW w:w="596" w:type="pct"/>
            <w:tcBorders>
              <w:top w:val="nil"/>
              <w:left w:val="nil"/>
              <w:bottom w:val="nil"/>
              <w:right w:val="nil"/>
            </w:tcBorders>
            <w:shd w:val="clear" w:color="auto" w:fill="CCE5CD"/>
            <w:vAlign w:val="center"/>
          </w:tcPr>
          <w:p w14:paraId="7D1944C4"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&lt;10 percent</w:t>
            </w:r>
          </w:p>
        </w:tc>
        <w:tc>
          <w:tcPr>
            <w:tcW w:w="596" w:type="pct"/>
            <w:tcBorders>
              <w:top w:val="nil"/>
              <w:left w:val="nil"/>
              <w:bottom w:val="nil"/>
              <w:right w:val="nil"/>
            </w:tcBorders>
            <w:shd w:val="clear" w:color="auto" w:fill="CCE5CD"/>
            <w:vAlign w:val="center"/>
          </w:tcPr>
          <w:p w14:paraId="4D7018A6"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10-25%</w:t>
            </w:r>
          </w:p>
        </w:tc>
        <w:tc>
          <w:tcPr>
            <w:tcW w:w="596" w:type="pct"/>
            <w:tcBorders>
              <w:top w:val="nil"/>
              <w:left w:val="nil"/>
              <w:bottom w:val="nil"/>
              <w:right w:val="nil"/>
            </w:tcBorders>
            <w:shd w:val="clear" w:color="auto" w:fill="CCE5CD"/>
            <w:vAlign w:val="center"/>
          </w:tcPr>
          <w:p w14:paraId="606E8579"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25-75%</w:t>
            </w:r>
          </w:p>
        </w:tc>
        <w:tc>
          <w:tcPr>
            <w:tcW w:w="596" w:type="pct"/>
            <w:tcBorders>
              <w:top w:val="nil"/>
              <w:left w:val="nil"/>
              <w:bottom w:val="nil"/>
              <w:right w:val="nil"/>
            </w:tcBorders>
            <w:shd w:val="clear" w:color="auto" w:fill="CCE5CD"/>
            <w:vAlign w:val="center"/>
          </w:tcPr>
          <w:p w14:paraId="0B0365C0"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&gt;75%</w:t>
            </w:r>
          </w:p>
        </w:tc>
        <w:tc>
          <w:tcPr>
            <w:tcW w:w="596" w:type="pct"/>
            <w:tcBorders>
              <w:top w:val="nil"/>
              <w:left w:val="nil"/>
              <w:bottom w:val="nil"/>
              <w:right w:val="nil"/>
            </w:tcBorders>
            <w:shd w:val="clear" w:color="auto" w:fill="CDD8E6"/>
            <w:vAlign w:val="center"/>
          </w:tcPr>
          <w:p w14:paraId="1C6334B8" w14:textId="77777777" w:rsidR="00382CF9" w:rsidRPr="00382CF9" w:rsidRDefault="00382CF9" w:rsidP="00382CF9">
            <w:pPr>
              <w:jc w:val="center"/>
              <w:rPr>
                <w:rFonts w:ascii="Microsoft Sans Serif" w:hAnsi="Microsoft Sans Serif" w:cs="Microsoft Sans Serif"/>
                <w:b/>
                <w:bCs/>
                <w:color w:val="000000"/>
                <w:sz w:val="20"/>
                <w:szCs w:val="20"/>
              </w:rPr>
            </w:pPr>
            <w:r w:rsidRPr="00382CF9">
              <w:rPr>
                <w:rFonts w:ascii="Microsoft Sans Serif" w:hAnsi="Microsoft Sans Serif" w:cs="Microsoft Sans Serif"/>
                <w:b/>
                <w:bCs/>
                <w:color w:val="000000"/>
                <w:sz w:val="20"/>
                <w:szCs w:val="20"/>
              </w:rPr>
              <w:t>Response Count</w:t>
            </w:r>
          </w:p>
        </w:tc>
      </w:tr>
      <w:tr w:rsidR="00382CF9" w:rsidRPr="00382CF9" w14:paraId="30A43B1F" w14:textId="77777777" w:rsidTr="00E63379">
        <w:trPr>
          <w:trHeight w:val="240"/>
        </w:trPr>
        <w:tc>
          <w:tcPr>
            <w:tcW w:w="5000" w:type="pct"/>
            <w:gridSpan w:val="7"/>
            <w:tcBorders>
              <w:top w:val="nil"/>
              <w:left w:val="nil"/>
              <w:bottom w:val="nil"/>
              <w:right w:val="nil"/>
            </w:tcBorders>
            <w:shd w:val="clear" w:color="auto" w:fill="DEE9F7"/>
            <w:noWrap/>
            <w:vAlign w:val="bottom"/>
          </w:tcPr>
          <w:p w14:paraId="47A56F1B"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Quality</w:t>
            </w:r>
          </w:p>
        </w:tc>
      </w:tr>
      <w:tr w:rsidR="00382CF9" w:rsidRPr="00382CF9" w14:paraId="0C7C1195" w14:textId="77777777" w:rsidTr="00E63379">
        <w:trPr>
          <w:trHeight w:val="240"/>
        </w:trPr>
        <w:tc>
          <w:tcPr>
            <w:tcW w:w="2020" w:type="pct"/>
            <w:gridSpan w:val="2"/>
            <w:tcBorders>
              <w:top w:val="nil"/>
              <w:left w:val="nil"/>
              <w:bottom w:val="nil"/>
              <w:right w:val="nil"/>
            </w:tcBorders>
            <w:shd w:val="clear" w:color="auto" w:fill="EEEEEE"/>
            <w:noWrap/>
            <w:vAlign w:val="bottom"/>
          </w:tcPr>
          <w:p w14:paraId="277CE5B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highly significant</w:t>
            </w:r>
          </w:p>
        </w:tc>
        <w:tc>
          <w:tcPr>
            <w:tcW w:w="596" w:type="pct"/>
            <w:tcBorders>
              <w:top w:val="nil"/>
              <w:left w:val="nil"/>
              <w:bottom w:val="nil"/>
              <w:right w:val="nil"/>
            </w:tcBorders>
            <w:shd w:val="clear" w:color="auto" w:fill="DEF7DF"/>
            <w:noWrap/>
            <w:vAlign w:val="center"/>
          </w:tcPr>
          <w:p w14:paraId="7D853B99"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41.30%</w:t>
            </w:r>
          </w:p>
        </w:tc>
        <w:tc>
          <w:tcPr>
            <w:tcW w:w="596" w:type="pct"/>
            <w:tcBorders>
              <w:top w:val="nil"/>
              <w:left w:val="nil"/>
              <w:bottom w:val="nil"/>
              <w:right w:val="nil"/>
            </w:tcBorders>
            <w:shd w:val="clear" w:color="auto" w:fill="DEF7DF"/>
            <w:noWrap/>
            <w:vAlign w:val="center"/>
          </w:tcPr>
          <w:p w14:paraId="7B4C5D88"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80.00%</w:t>
            </w:r>
          </w:p>
        </w:tc>
        <w:tc>
          <w:tcPr>
            <w:tcW w:w="596" w:type="pct"/>
            <w:tcBorders>
              <w:top w:val="nil"/>
              <w:left w:val="nil"/>
              <w:bottom w:val="nil"/>
              <w:right w:val="nil"/>
            </w:tcBorders>
            <w:shd w:val="clear" w:color="auto" w:fill="DEF7DF"/>
            <w:noWrap/>
            <w:vAlign w:val="center"/>
          </w:tcPr>
          <w:p w14:paraId="3BAD1B79"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100.00%</w:t>
            </w:r>
          </w:p>
        </w:tc>
        <w:tc>
          <w:tcPr>
            <w:tcW w:w="596" w:type="pct"/>
            <w:tcBorders>
              <w:top w:val="nil"/>
              <w:left w:val="nil"/>
              <w:bottom w:val="nil"/>
              <w:right w:val="nil"/>
            </w:tcBorders>
            <w:shd w:val="clear" w:color="auto" w:fill="DEF7DF"/>
            <w:noWrap/>
            <w:vAlign w:val="center"/>
          </w:tcPr>
          <w:p w14:paraId="7B03CE8A"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66.67%</w:t>
            </w:r>
          </w:p>
        </w:tc>
        <w:tc>
          <w:tcPr>
            <w:tcW w:w="596" w:type="pct"/>
            <w:tcBorders>
              <w:top w:val="nil"/>
              <w:left w:val="nil"/>
              <w:bottom w:val="nil"/>
              <w:right w:val="nil"/>
            </w:tcBorders>
            <w:shd w:val="clear" w:color="auto" w:fill="DEE9F7"/>
            <w:noWrap/>
            <w:vAlign w:val="bottom"/>
          </w:tcPr>
          <w:p w14:paraId="5C177F50"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3C136A0E" w14:textId="77777777" w:rsidTr="00E63379">
        <w:trPr>
          <w:trHeight w:val="240"/>
        </w:trPr>
        <w:tc>
          <w:tcPr>
            <w:tcW w:w="2020" w:type="pct"/>
            <w:gridSpan w:val="2"/>
            <w:tcBorders>
              <w:top w:val="nil"/>
              <w:left w:val="nil"/>
              <w:bottom w:val="nil"/>
              <w:right w:val="nil"/>
            </w:tcBorders>
            <w:shd w:val="clear" w:color="auto" w:fill="EEEEEE"/>
            <w:noWrap/>
            <w:vAlign w:val="bottom"/>
          </w:tcPr>
          <w:p w14:paraId="0EBB3BB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somewhat significant</w:t>
            </w:r>
          </w:p>
        </w:tc>
        <w:tc>
          <w:tcPr>
            <w:tcW w:w="596" w:type="pct"/>
            <w:tcBorders>
              <w:top w:val="nil"/>
              <w:left w:val="nil"/>
              <w:bottom w:val="nil"/>
              <w:right w:val="nil"/>
            </w:tcBorders>
            <w:shd w:val="clear" w:color="auto" w:fill="DEF7DF"/>
            <w:noWrap/>
            <w:vAlign w:val="center"/>
          </w:tcPr>
          <w:p w14:paraId="3FEF03B2"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26.09%</w:t>
            </w:r>
          </w:p>
        </w:tc>
        <w:tc>
          <w:tcPr>
            <w:tcW w:w="596" w:type="pct"/>
            <w:tcBorders>
              <w:top w:val="nil"/>
              <w:left w:val="nil"/>
              <w:bottom w:val="nil"/>
              <w:right w:val="nil"/>
            </w:tcBorders>
            <w:shd w:val="clear" w:color="auto" w:fill="DEF7DF"/>
            <w:noWrap/>
            <w:vAlign w:val="center"/>
          </w:tcPr>
          <w:p w14:paraId="4F6D952F"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3A011DE4"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57E48A4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E9F7"/>
            <w:noWrap/>
            <w:vAlign w:val="bottom"/>
          </w:tcPr>
          <w:p w14:paraId="759A509C"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68CB17C7" w14:textId="77777777" w:rsidTr="00E63379">
        <w:trPr>
          <w:trHeight w:val="240"/>
        </w:trPr>
        <w:tc>
          <w:tcPr>
            <w:tcW w:w="2020" w:type="pct"/>
            <w:gridSpan w:val="2"/>
            <w:tcBorders>
              <w:top w:val="nil"/>
              <w:left w:val="nil"/>
              <w:bottom w:val="nil"/>
              <w:right w:val="nil"/>
            </w:tcBorders>
            <w:shd w:val="clear" w:color="auto" w:fill="EEEEEE"/>
            <w:noWrap/>
            <w:vAlign w:val="bottom"/>
          </w:tcPr>
          <w:p w14:paraId="4FD87ED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significant</w:t>
            </w:r>
          </w:p>
        </w:tc>
        <w:tc>
          <w:tcPr>
            <w:tcW w:w="596" w:type="pct"/>
            <w:tcBorders>
              <w:top w:val="nil"/>
              <w:left w:val="nil"/>
              <w:bottom w:val="nil"/>
              <w:right w:val="nil"/>
            </w:tcBorders>
            <w:shd w:val="clear" w:color="auto" w:fill="DEF7DF"/>
            <w:noWrap/>
            <w:vAlign w:val="center"/>
          </w:tcPr>
          <w:p w14:paraId="3F85E8B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19.57%</w:t>
            </w:r>
          </w:p>
        </w:tc>
        <w:tc>
          <w:tcPr>
            <w:tcW w:w="596" w:type="pct"/>
            <w:tcBorders>
              <w:top w:val="nil"/>
              <w:left w:val="nil"/>
              <w:bottom w:val="nil"/>
              <w:right w:val="nil"/>
            </w:tcBorders>
            <w:shd w:val="clear" w:color="auto" w:fill="DEF7DF"/>
            <w:noWrap/>
            <w:vAlign w:val="center"/>
          </w:tcPr>
          <w:p w14:paraId="0F3CED8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20.00%</w:t>
            </w:r>
          </w:p>
        </w:tc>
        <w:tc>
          <w:tcPr>
            <w:tcW w:w="596" w:type="pct"/>
            <w:tcBorders>
              <w:top w:val="nil"/>
              <w:left w:val="nil"/>
              <w:bottom w:val="nil"/>
              <w:right w:val="nil"/>
            </w:tcBorders>
            <w:shd w:val="clear" w:color="auto" w:fill="DEF7DF"/>
            <w:noWrap/>
            <w:vAlign w:val="center"/>
          </w:tcPr>
          <w:p w14:paraId="2F7106FF"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1E262BE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396EC01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13B33059" w14:textId="77777777" w:rsidTr="00E63379">
        <w:trPr>
          <w:trHeight w:val="240"/>
        </w:trPr>
        <w:tc>
          <w:tcPr>
            <w:tcW w:w="2020" w:type="pct"/>
            <w:gridSpan w:val="2"/>
            <w:tcBorders>
              <w:top w:val="nil"/>
              <w:left w:val="nil"/>
              <w:bottom w:val="nil"/>
              <w:right w:val="nil"/>
            </w:tcBorders>
            <w:shd w:val="clear" w:color="auto" w:fill="EEEEEE"/>
            <w:noWrap/>
            <w:vAlign w:val="bottom"/>
          </w:tcPr>
          <w:p w14:paraId="525C11B2"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less significant</w:t>
            </w:r>
          </w:p>
        </w:tc>
        <w:tc>
          <w:tcPr>
            <w:tcW w:w="596" w:type="pct"/>
            <w:tcBorders>
              <w:top w:val="nil"/>
              <w:left w:val="nil"/>
              <w:bottom w:val="nil"/>
              <w:right w:val="nil"/>
            </w:tcBorders>
            <w:shd w:val="clear" w:color="auto" w:fill="DEF7DF"/>
            <w:noWrap/>
            <w:vAlign w:val="center"/>
          </w:tcPr>
          <w:p w14:paraId="311FC2CA"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10.87%</w:t>
            </w:r>
          </w:p>
        </w:tc>
        <w:tc>
          <w:tcPr>
            <w:tcW w:w="596" w:type="pct"/>
            <w:tcBorders>
              <w:top w:val="nil"/>
              <w:left w:val="nil"/>
              <w:bottom w:val="nil"/>
              <w:right w:val="nil"/>
            </w:tcBorders>
            <w:shd w:val="clear" w:color="auto" w:fill="DEF7DF"/>
            <w:noWrap/>
            <w:vAlign w:val="center"/>
          </w:tcPr>
          <w:p w14:paraId="2A80932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219A1BD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302B6E7C"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E9F7"/>
            <w:noWrap/>
            <w:vAlign w:val="bottom"/>
          </w:tcPr>
          <w:p w14:paraId="0D3A614B"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06D62131" w14:textId="77777777" w:rsidTr="00E63379">
        <w:trPr>
          <w:trHeight w:val="240"/>
        </w:trPr>
        <w:tc>
          <w:tcPr>
            <w:tcW w:w="2020" w:type="pct"/>
            <w:gridSpan w:val="2"/>
            <w:tcBorders>
              <w:top w:val="nil"/>
              <w:left w:val="nil"/>
              <w:bottom w:val="nil"/>
              <w:right w:val="nil"/>
            </w:tcBorders>
            <w:shd w:val="clear" w:color="auto" w:fill="EEEEEE"/>
            <w:noWrap/>
            <w:vAlign w:val="bottom"/>
          </w:tcPr>
          <w:p w14:paraId="5C527F5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not significant</w:t>
            </w:r>
          </w:p>
        </w:tc>
        <w:tc>
          <w:tcPr>
            <w:tcW w:w="596" w:type="pct"/>
            <w:tcBorders>
              <w:top w:val="nil"/>
              <w:left w:val="nil"/>
              <w:bottom w:val="nil"/>
              <w:right w:val="nil"/>
            </w:tcBorders>
            <w:shd w:val="clear" w:color="auto" w:fill="DEF7DF"/>
            <w:noWrap/>
            <w:vAlign w:val="center"/>
          </w:tcPr>
          <w:p w14:paraId="63EC824D"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2.17%</w:t>
            </w:r>
          </w:p>
        </w:tc>
        <w:tc>
          <w:tcPr>
            <w:tcW w:w="596" w:type="pct"/>
            <w:tcBorders>
              <w:top w:val="nil"/>
              <w:left w:val="nil"/>
              <w:bottom w:val="nil"/>
              <w:right w:val="nil"/>
            </w:tcBorders>
            <w:shd w:val="clear" w:color="auto" w:fill="DEF7DF"/>
            <w:noWrap/>
            <w:vAlign w:val="center"/>
          </w:tcPr>
          <w:p w14:paraId="034F9F5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209F83A6"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228A4B01"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2E6C2BB9"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48B0F07B" w14:textId="77777777">
        <w:trPr>
          <w:trHeight w:val="240"/>
        </w:trPr>
        <w:tc>
          <w:tcPr>
            <w:tcW w:w="1010" w:type="pct"/>
            <w:tcBorders>
              <w:top w:val="nil"/>
              <w:left w:val="nil"/>
              <w:bottom w:val="nil"/>
              <w:right w:val="nil"/>
            </w:tcBorders>
            <w:shd w:val="clear" w:color="auto" w:fill="EEEEEE"/>
            <w:noWrap/>
            <w:vAlign w:val="bottom"/>
          </w:tcPr>
          <w:p w14:paraId="5FC4052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1010" w:type="pct"/>
            <w:tcBorders>
              <w:top w:val="nil"/>
              <w:left w:val="nil"/>
              <w:bottom w:val="nil"/>
              <w:right w:val="nil"/>
            </w:tcBorders>
            <w:shd w:val="clear" w:color="auto" w:fill="EEEEEE"/>
            <w:noWrap/>
            <w:vAlign w:val="bottom"/>
          </w:tcPr>
          <w:p w14:paraId="7E05A2E5"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39471836"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46</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7778B48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6CB32C08"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30AD32B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w:t>
            </w:r>
          </w:p>
        </w:tc>
        <w:tc>
          <w:tcPr>
            <w:tcW w:w="596" w:type="pct"/>
            <w:tcBorders>
              <w:top w:val="nil"/>
              <w:left w:val="nil"/>
              <w:bottom w:val="nil"/>
              <w:right w:val="nil"/>
            </w:tcBorders>
            <w:shd w:val="clear" w:color="auto" w:fill="CDD8E6"/>
            <w:noWrap/>
            <w:vAlign w:val="center"/>
          </w:tcPr>
          <w:p w14:paraId="7F7F10B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58</w:t>
            </w:r>
          </w:p>
        </w:tc>
      </w:tr>
      <w:tr w:rsidR="00382CF9" w:rsidRPr="00382CF9" w14:paraId="5EA67A36" w14:textId="77777777" w:rsidTr="00E63379">
        <w:trPr>
          <w:trHeight w:val="240"/>
        </w:trPr>
        <w:tc>
          <w:tcPr>
            <w:tcW w:w="5000" w:type="pct"/>
            <w:gridSpan w:val="7"/>
            <w:tcBorders>
              <w:top w:val="nil"/>
              <w:left w:val="nil"/>
              <w:bottom w:val="nil"/>
              <w:right w:val="nil"/>
            </w:tcBorders>
            <w:shd w:val="clear" w:color="auto" w:fill="DEE9F7"/>
            <w:noWrap/>
            <w:vAlign w:val="bottom"/>
          </w:tcPr>
          <w:p w14:paraId="47067AEC"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Timeliness</w:t>
            </w:r>
          </w:p>
        </w:tc>
      </w:tr>
      <w:tr w:rsidR="00382CF9" w:rsidRPr="00382CF9" w14:paraId="178D2E03" w14:textId="77777777" w:rsidTr="00E63379">
        <w:trPr>
          <w:trHeight w:val="240"/>
        </w:trPr>
        <w:tc>
          <w:tcPr>
            <w:tcW w:w="2020" w:type="pct"/>
            <w:gridSpan w:val="2"/>
            <w:tcBorders>
              <w:top w:val="nil"/>
              <w:left w:val="nil"/>
              <w:bottom w:val="nil"/>
              <w:right w:val="nil"/>
            </w:tcBorders>
            <w:shd w:val="clear" w:color="auto" w:fill="EEEEEE"/>
            <w:noWrap/>
            <w:vAlign w:val="bottom"/>
          </w:tcPr>
          <w:p w14:paraId="33AB589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highly significant</w:t>
            </w:r>
          </w:p>
        </w:tc>
        <w:tc>
          <w:tcPr>
            <w:tcW w:w="596" w:type="pct"/>
            <w:tcBorders>
              <w:top w:val="nil"/>
              <w:left w:val="nil"/>
              <w:bottom w:val="nil"/>
              <w:right w:val="nil"/>
            </w:tcBorders>
            <w:shd w:val="clear" w:color="auto" w:fill="DEF7DF"/>
            <w:noWrap/>
            <w:vAlign w:val="center"/>
          </w:tcPr>
          <w:p w14:paraId="4F724CB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58.70%</w:t>
            </w:r>
          </w:p>
        </w:tc>
        <w:tc>
          <w:tcPr>
            <w:tcW w:w="596" w:type="pct"/>
            <w:tcBorders>
              <w:top w:val="nil"/>
              <w:left w:val="nil"/>
              <w:bottom w:val="nil"/>
              <w:right w:val="nil"/>
            </w:tcBorders>
            <w:shd w:val="clear" w:color="auto" w:fill="DEF7DF"/>
            <w:noWrap/>
            <w:vAlign w:val="center"/>
          </w:tcPr>
          <w:p w14:paraId="6EF589E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40.00%</w:t>
            </w:r>
          </w:p>
        </w:tc>
        <w:tc>
          <w:tcPr>
            <w:tcW w:w="596" w:type="pct"/>
            <w:tcBorders>
              <w:top w:val="nil"/>
              <w:left w:val="nil"/>
              <w:bottom w:val="nil"/>
              <w:right w:val="nil"/>
            </w:tcBorders>
            <w:shd w:val="clear" w:color="auto" w:fill="DEF7DF"/>
            <w:noWrap/>
            <w:vAlign w:val="center"/>
          </w:tcPr>
          <w:p w14:paraId="5CB84E1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100.00%</w:t>
            </w:r>
          </w:p>
        </w:tc>
        <w:tc>
          <w:tcPr>
            <w:tcW w:w="596" w:type="pct"/>
            <w:tcBorders>
              <w:top w:val="nil"/>
              <w:left w:val="nil"/>
              <w:bottom w:val="nil"/>
              <w:right w:val="nil"/>
            </w:tcBorders>
            <w:shd w:val="clear" w:color="auto" w:fill="DEF7DF"/>
            <w:noWrap/>
            <w:vAlign w:val="center"/>
          </w:tcPr>
          <w:p w14:paraId="2597B26D"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33.33%</w:t>
            </w:r>
          </w:p>
        </w:tc>
        <w:tc>
          <w:tcPr>
            <w:tcW w:w="596" w:type="pct"/>
            <w:tcBorders>
              <w:top w:val="nil"/>
              <w:left w:val="nil"/>
              <w:bottom w:val="nil"/>
              <w:right w:val="nil"/>
            </w:tcBorders>
            <w:shd w:val="clear" w:color="auto" w:fill="DEE9F7"/>
            <w:noWrap/>
            <w:vAlign w:val="bottom"/>
          </w:tcPr>
          <w:p w14:paraId="47A4C7AE"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34BBA5ED" w14:textId="77777777" w:rsidTr="00E63379">
        <w:trPr>
          <w:trHeight w:val="240"/>
        </w:trPr>
        <w:tc>
          <w:tcPr>
            <w:tcW w:w="2020" w:type="pct"/>
            <w:gridSpan w:val="2"/>
            <w:tcBorders>
              <w:top w:val="nil"/>
              <w:left w:val="nil"/>
              <w:bottom w:val="nil"/>
              <w:right w:val="nil"/>
            </w:tcBorders>
            <w:shd w:val="clear" w:color="auto" w:fill="EEEEEE"/>
            <w:noWrap/>
            <w:vAlign w:val="bottom"/>
          </w:tcPr>
          <w:p w14:paraId="1E2AEDB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somewhat significant</w:t>
            </w:r>
          </w:p>
        </w:tc>
        <w:tc>
          <w:tcPr>
            <w:tcW w:w="596" w:type="pct"/>
            <w:tcBorders>
              <w:top w:val="nil"/>
              <w:left w:val="nil"/>
              <w:bottom w:val="nil"/>
              <w:right w:val="nil"/>
            </w:tcBorders>
            <w:shd w:val="clear" w:color="auto" w:fill="DEF7DF"/>
            <w:noWrap/>
            <w:vAlign w:val="center"/>
          </w:tcPr>
          <w:p w14:paraId="6FEEBAB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13.04%</w:t>
            </w:r>
          </w:p>
        </w:tc>
        <w:tc>
          <w:tcPr>
            <w:tcW w:w="596" w:type="pct"/>
            <w:tcBorders>
              <w:top w:val="nil"/>
              <w:left w:val="nil"/>
              <w:bottom w:val="nil"/>
              <w:right w:val="nil"/>
            </w:tcBorders>
            <w:shd w:val="clear" w:color="auto" w:fill="DEF7DF"/>
            <w:noWrap/>
            <w:vAlign w:val="center"/>
          </w:tcPr>
          <w:p w14:paraId="347E80AF"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741B910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60971F51"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33.33%</w:t>
            </w:r>
          </w:p>
        </w:tc>
        <w:tc>
          <w:tcPr>
            <w:tcW w:w="596" w:type="pct"/>
            <w:tcBorders>
              <w:top w:val="nil"/>
              <w:left w:val="nil"/>
              <w:bottom w:val="nil"/>
              <w:right w:val="nil"/>
            </w:tcBorders>
            <w:shd w:val="clear" w:color="auto" w:fill="DEE9F7"/>
            <w:noWrap/>
            <w:vAlign w:val="bottom"/>
          </w:tcPr>
          <w:p w14:paraId="209950C0"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401F0AB6" w14:textId="77777777" w:rsidTr="00E63379">
        <w:trPr>
          <w:trHeight w:val="240"/>
        </w:trPr>
        <w:tc>
          <w:tcPr>
            <w:tcW w:w="2020" w:type="pct"/>
            <w:gridSpan w:val="2"/>
            <w:tcBorders>
              <w:top w:val="nil"/>
              <w:left w:val="nil"/>
              <w:bottom w:val="nil"/>
              <w:right w:val="nil"/>
            </w:tcBorders>
            <w:shd w:val="clear" w:color="auto" w:fill="EEEEEE"/>
            <w:noWrap/>
            <w:vAlign w:val="bottom"/>
          </w:tcPr>
          <w:p w14:paraId="1DD9363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significant</w:t>
            </w:r>
          </w:p>
        </w:tc>
        <w:tc>
          <w:tcPr>
            <w:tcW w:w="596" w:type="pct"/>
            <w:tcBorders>
              <w:top w:val="nil"/>
              <w:left w:val="nil"/>
              <w:bottom w:val="nil"/>
              <w:right w:val="nil"/>
            </w:tcBorders>
            <w:shd w:val="clear" w:color="auto" w:fill="DEF7DF"/>
            <w:noWrap/>
            <w:vAlign w:val="center"/>
          </w:tcPr>
          <w:p w14:paraId="3101898A"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26.09%</w:t>
            </w:r>
          </w:p>
        </w:tc>
        <w:tc>
          <w:tcPr>
            <w:tcW w:w="596" w:type="pct"/>
            <w:tcBorders>
              <w:top w:val="nil"/>
              <w:left w:val="nil"/>
              <w:bottom w:val="nil"/>
              <w:right w:val="nil"/>
            </w:tcBorders>
            <w:shd w:val="clear" w:color="auto" w:fill="DEF7DF"/>
            <w:noWrap/>
            <w:vAlign w:val="center"/>
          </w:tcPr>
          <w:p w14:paraId="2306376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60.00%</w:t>
            </w:r>
          </w:p>
        </w:tc>
        <w:tc>
          <w:tcPr>
            <w:tcW w:w="596" w:type="pct"/>
            <w:tcBorders>
              <w:top w:val="nil"/>
              <w:left w:val="nil"/>
              <w:bottom w:val="nil"/>
              <w:right w:val="nil"/>
            </w:tcBorders>
            <w:shd w:val="clear" w:color="auto" w:fill="DEF7DF"/>
            <w:noWrap/>
            <w:vAlign w:val="center"/>
          </w:tcPr>
          <w:p w14:paraId="4087E36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382AB0D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58D00A1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58AD9137" w14:textId="77777777" w:rsidTr="00E63379">
        <w:trPr>
          <w:trHeight w:val="240"/>
        </w:trPr>
        <w:tc>
          <w:tcPr>
            <w:tcW w:w="2020" w:type="pct"/>
            <w:gridSpan w:val="2"/>
            <w:tcBorders>
              <w:top w:val="nil"/>
              <w:left w:val="nil"/>
              <w:bottom w:val="nil"/>
              <w:right w:val="nil"/>
            </w:tcBorders>
            <w:shd w:val="clear" w:color="auto" w:fill="EEEEEE"/>
            <w:noWrap/>
            <w:vAlign w:val="bottom"/>
          </w:tcPr>
          <w:p w14:paraId="01EACE79"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less significant</w:t>
            </w:r>
          </w:p>
        </w:tc>
        <w:tc>
          <w:tcPr>
            <w:tcW w:w="596" w:type="pct"/>
            <w:tcBorders>
              <w:top w:val="nil"/>
              <w:left w:val="nil"/>
              <w:bottom w:val="nil"/>
              <w:right w:val="nil"/>
            </w:tcBorders>
            <w:shd w:val="clear" w:color="auto" w:fill="DEF7DF"/>
            <w:noWrap/>
            <w:vAlign w:val="center"/>
          </w:tcPr>
          <w:p w14:paraId="27FFB01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2.17%</w:t>
            </w:r>
          </w:p>
        </w:tc>
        <w:tc>
          <w:tcPr>
            <w:tcW w:w="596" w:type="pct"/>
            <w:tcBorders>
              <w:top w:val="nil"/>
              <w:left w:val="nil"/>
              <w:bottom w:val="nil"/>
              <w:right w:val="nil"/>
            </w:tcBorders>
            <w:shd w:val="clear" w:color="auto" w:fill="DEF7DF"/>
            <w:noWrap/>
            <w:vAlign w:val="center"/>
          </w:tcPr>
          <w:p w14:paraId="1712CAFC"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4701D64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2C8531A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E9F7"/>
            <w:noWrap/>
            <w:vAlign w:val="bottom"/>
          </w:tcPr>
          <w:p w14:paraId="0CCE12A2"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388A2312" w14:textId="77777777" w:rsidTr="00E63379">
        <w:trPr>
          <w:trHeight w:val="240"/>
        </w:trPr>
        <w:tc>
          <w:tcPr>
            <w:tcW w:w="2020" w:type="pct"/>
            <w:gridSpan w:val="2"/>
            <w:tcBorders>
              <w:top w:val="nil"/>
              <w:left w:val="nil"/>
              <w:bottom w:val="nil"/>
              <w:right w:val="nil"/>
            </w:tcBorders>
            <w:shd w:val="clear" w:color="auto" w:fill="EEEEEE"/>
            <w:noWrap/>
            <w:vAlign w:val="bottom"/>
          </w:tcPr>
          <w:p w14:paraId="15A8C5F2"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not significant</w:t>
            </w:r>
          </w:p>
        </w:tc>
        <w:tc>
          <w:tcPr>
            <w:tcW w:w="596" w:type="pct"/>
            <w:tcBorders>
              <w:top w:val="nil"/>
              <w:left w:val="nil"/>
              <w:bottom w:val="nil"/>
              <w:right w:val="nil"/>
            </w:tcBorders>
            <w:shd w:val="clear" w:color="auto" w:fill="DEF7DF"/>
            <w:noWrap/>
            <w:vAlign w:val="center"/>
          </w:tcPr>
          <w:p w14:paraId="06BE9C06"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5974541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5ECBD6B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4CFA1AAD"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31DE4F04"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5AB4885C" w14:textId="77777777">
        <w:trPr>
          <w:trHeight w:val="240"/>
        </w:trPr>
        <w:tc>
          <w:tcPr>
            <w:tcW w:w="1010" w:type="pct"/>
            <w:tcBorders>
              <w:top w:val="nil"/>
              <w:left w:val="nil"/>
              <w:bottom w:val="nil"/>
              <w:right w:val="nil"/>
            </w:tcBorders>
            <w:shd w:val="clear" w:color="auto" w:fill="EEEEEE"/>
            <w:noWrap/>
            <w:vAlign w:val="bottom"/>
          </w:tcPr>
          <w:p w14:paraId="2670427B"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1010" w:type="pct"/>
            <w:tcBorders>
              <w:top w:val="nil"/>
              <w:left w:val="nil"/>
              <w:bottom w:val="nil"/>
              <w:right w:val="nil"/>
            </w:tcBorders>
            <w:shd w:val="clear" w:color="auto" w:fill="EEEEEE"/>
            <w:noWrap/>
            <w:vAlign w:val="bottom"/>
          </w:tcPr>
          <w:p w14:paraId="3BB3337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64CA1A58"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46</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3861921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122D3F7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6CE86EED"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w:t>
            </w:r>
          </w:p>
        </w:tc>
        <w:tc>
          <w:tcPr>
            <w:tcW w:w="596" w:type="pct"/>
            <w:tcBorders>
              <w:top w:val="nil"/>
              <w:left w:val="nil"/>
              <w:bottom w:val="nil"/>
              <w:right w:val="nil"/>
            </w:tcBorders>
            <w:shd w:val="clear" w:color="auto" w:fill="CDD8E6"/>
            <w:noWrap/>
            <w:vAlign w:val="center"/>
          </w:tcPr>
          <w:p w14:paraId="2BF46AD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58</w:t>
            </w:r>
          </w:p>
        </w:tc>
      </w:tr>
      <w:tr w:rsidR="00382CF9" w:rsidRPr="00382CF9" w14:paraId="61D4A739" w14:textId="77777777" w:rsidTr="00E63379">
        <w:trPr>
          <w:trHeight w:val="240"/>
        </w:trPr>
        <w:tc>
          <w:tcPr>
            <w:tcW w:w="5000" w:type="pct"/>
            <w:gridSpan w:val="7"/>
            <w:tcBorders>
              <w:top w:val="nil"/>
              <w:left w:val="nil"/>
              <w:bottom w:val="nil"/>
              <w:right w:val="nil"/>
            </w:tcBorders>
            <w:shd w:val="clear" w:color="auto" w:fill="DEE9F7"/>
            <w:noWrap/>
            <w:vAlign w:val="bottom"/>
          </w:tcPr>
          <w:p w14:paraId="5AE016B9"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Cost</w:t>
            </w:r>
          </w:p>
        </w:tc>
      </w:tr>
      <w:tr w:rsidR="00382CF9" w:rsidRPr="00382CF9" w14:paraId="3548785F" w14:textId="77777777" w:rsidTr="00E63379">
        <w:trPr>
          <w:trHeight w:val="240"/>
        </w:trPr>
        <w:tc>
          <w:tcPr>
            <w:tcW w:w="2020" w:type="pct"/>
            <w:gridSpan w:val="2"/>
            <w:tcBorders>
              <w:top w:val="nil"/>
              <w:left w:val="nil"/>
              <w:bottom w:val="nil"/>
              <w:right w:val="nil"/>
            </w:tcBorders>
            <w:shd w:val="clear" w:color="auto" w:fill="EEEEEE"/>
            <w:noWrap/>
            <w:vAlign w:val="bottom"/>
          </w:tcPr>
          <w:p w14:paraId="362024C0"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highly significant</w:t>
            </w:r>
          </w:p>
        </w:tc>
        <w:tc>
          <w:tcPr>
            <w:tcW w:w="596" w:type="pct"/>
            <w:tcBorders>
              <w:top w:val="nil"/>
              <w:left w:val="nil"/>
              <w:bottom w:val="nil"/>
              <w:right w:val="nil"/>
            </w:tcBorders>
            <w:shd w:val="clear" w:color="auto" w:fill="DEF7DF"/>
            <w:noWrap/>
            <w:vAlign w:val="center"/>
          </w:tcPr>
          <w:p w14:paraId="0A2EBAF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48.89%</w:t>
            </w:r>
          </w:p>
        </w:tc>
        <w:tc>
          <w:tcPr>
            <w:tcW w:w="596" w:type="pct"/>
            <w:tcBorders>
              <w:top w:val="nil"/>
              <w:left w:val="nil"/>
              <w:bottom w:val="nil"/>
              <w:right w:val="nil"/>
            </w:tcBorders>
            <w:shd w:val="clear" w:color="auto" w:fill="DEF7DF"/>
            <w:noWrap/>
            <w:vAlign w:val="center"/>
          </w:tcPr>
          <w:p w14:paraId="3DC62CD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60.00%</w:t>
            </w:r>
          </w:p>
        </w:tc>
        <w:tc>
          <w:tcPr>
            <w:tcW w:w="596" w:type="pct"/>
            <w:tcBorders>
              <w:top w:val="nil"/>
              <w:left w:val="nil"/>
              <w:bottom w:val="nil"/>
              <w:right w:val="nil"/>
            </w:tcBorders>
            <w:shd w:val="clear" w:color="auto" w:fill="DEF7DF"/>
            <w:noWrap/>
            <w:vAlign w:val="center"/>
          </w:tcPr>
          <w:p w14:paraId="76B392B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100.00%</w:t>
            </w:r>
          </w:p>
        </w:tc>
        <w:tc>
          <w:tcPr>
            <w:tcW w:w="596" w:type="pct"/>
            <w:tcBorders>
              <w:top w:val="nil"/>
              <w:left w:val="nil"/>
              <w:bottom w:val="nil"/>
              <w:right w:val="nil"/>
            </w:tcBorders>
            <w:shd w:val="clear" w:color="auto" w:fill="DEF7DF"/>
            <w:noWrap/>
            <w:vAlign w:val="center"/>
          </w:tcPr>
          <w:p w14:paraId="6210696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33.33%</w:t>
            </w:r>
          </w:p>
        </w:tc>
        <w:tc>
          <w:tcPr>
            <w:tcW w:w="596" w:type="pct"/>
            <w:tcBorders>
              <w:top w:val="nil"/>
              <w:left w:val="nil"/>
              <w:bottom w:val="nil"/>
              <w:right w:val="nil"/>
            </w:tcBorders>
            <w:shd w:val="clear" w:color="auto" w:fill="DEE9F7"/>
            <w:noWrap/>
            <w:vAlign w:val="bottom"/>
          </w:tcPr>
          <w:p w14:paraId="2AA9204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50269B93" w14:textId="77777777" w:rsidTr="00E63379">
        <w:trPr>
          <w:trHeight w:val="240"/>
        </w:trPr>
        <w:tc>
          <w:tcPr>
            <w:tcW w:w="2020" w:type="pct"/>
            <w:gridSpan w:val="2"/>
            <w:tcBorders>
              <w:top w:val="nil"/>
              <w:left w:val="nil"/>
              <w:bottom w:val="nil"/>
              <w:right w:val="nil"/>
            </w:tcBorders>
            <w:shd w:val="clear" w:color="auto" w:fill="EEEEEE"/>
            <w:noWrap/>
            <w:vAlign w:val="bottom"/>
          </w:tcPr>
          <w:p w14:paraId="383EA4E9"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somewhat significant</w:t>
            </w:r>
          </w:p>
        </w:tc>
        <w:tc>
          <w:tcPr>
            <w:tcW w:w="596" w:type="pct"/>
            <w:tcBorders>
              <w:top w:val="nil"/>
              <w:left w:val="nil"/>
              <w:bottom w:val="nil"/>
              <w:right w:val="nil"/>
            </w:tcBorders>
            <w:shd w:val="clear" w:color="auto" w:fill="DEF7DF"/>
            <w:noWrap/>
            <w:vAlign w:val="center"/>
          </w:tcPr>
          <w:p w14:paraId="564954A9"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24.44%</w:t>
            </w:r>
          </w:p>
        </w:tc>
        <w:tc>
          <w:tcPr>
            <w:tcW w:w="596" w:type="pct"/>
            <w:tcBorders>
              <w:top w:val="nil"/>
              <w:left w:val="nil"/>
              <w:bottom w:val="nil"/>
              <w:right w:val="nil"/>
            </w:tcBorders>
            <w:shd w:val="clear" w:color="auto" w:fill="DEF7DF"/>
            <w:noWrap/>
            <w:vAlign w:val="center"/>
          </w:tcPr>
          <w:p w14:paraId="5641C55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343B79CF"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68BCDBA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3044881D"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2017A960" w14:textId="77777777" w:rsidTr="00E63379">
        <w:trPr>
          <w:trHeight w:val="240"/>
        </w:trPr>
        <w:tc>
          <w:tcPr>
            <w:tcW w:w="2020" w:type="pct"/>
            <w:gridSpan w:val="2"/>
            <w:tcBorders>
              <w:top w:val="nil"/>
              <w:left w:val="nil"/>
              <w:bottom w:val="nil"/>
              <w:right w:val="nil"/>
            </w:tcBorders>
            <w:shd w:val="clear" w:color="auto" w:fill="EEEEEE"/>
            <w:noWrap/>
            <w:vAlign w:val="bottom"/>
          </w:tcPr>
          <w:p w14:paraId="742B247A"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significant</w:t>
            </w:r>
          </w:p>
        </w:tc>
        <w:tc>
          <w:tcPr>
            <w:tcW w:w="596" w:type="pct"/>
            <w:tcBorders>
              <w:top w:val="nil"/>
              <w:left w:val="nil"/>
              <w:bottom w:val="nil"/>
              <w:right w:val="nil"/>
            </w:tcBorders>
            <w:shd w:val="clear" w:color="auto" w:fill="DEF7DF"/>
            <w:noWrap/>
            <w:vAlign w:val="center"/>
          </w:tcPr>
          <w:p w14:paraId="3623408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15.56%</w:t>
            </w:r>
          </w:p>
        </w:tc>
        <w:tc>
          <w:tcPr>
            <w:tcW w:w="596" w:type="pct"/>
            <w:tcBorders>
              <w:top w:val="nil"/>
              <w:left w:val="nil"/>
              <w:bottom w:val="nil"/>
              <w:right w:val="nil"/>
            </w:tcBorders>
            <w:shd w:val="clear" w:color="auto" w:fill="DEF7DF"/>
            <w:noWrap/>
            <w:vAlign w:val="center"/>
          </w:tcPr>
          <w:p w14:paraId="016E42CC"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20.00%</w:t>
            </w:r>
          </w:p>
        </w:tc>
        <w:tc>
          <w:tcPr>
            <w:tcW w:w="596" w:type="pct"/>
            <w:tcBorders>
              <w:top w:val="nil"/>
              <w:left w:val="nil"/>
              <w:bottom w:val="nil"/>
              <w:right w:val="nil"/>
            </w:tcBorders>
            <w:shd w:val="clear" w:color="auto" w:fill="DEF7DF"/>
            <w:noWrap/>
            <w:vAlign w:val="center"/>
          </w:tcPr>
          <w:p w14:paraId="7E054CD8"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2C61F84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457E79E9"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5DF56E1C" w14:textId="77777777" w:rsidTr="00E63379">
        <w:trPr>
          <w:trHeight w:val="240"/>
        </w:trPr>
        <w:tc>
          <w:tcPr>
            <w:tcW w:w="2020" w:type="pct"/>
            <w:gridSpan w:val="2"/>
            <w:tcBorders>
              <w:top w:val="nil"/>
              <w:left w:val="nil"/>
              <w:bottom w:val="nil"/>
              <w:right w:val="nil"/>
            </w:tcBorders>
            <w:shd w:val="clear" w:color="auto" w:fill="EEEEEE"/>
            <w:noWrap/>
            <w:vAlign w:val="bottom"/>
          </w:tcPr>
          <w:p w14:paraId="46C99786"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less significant</w:t>
            </w:r>
          </w:p>
        </w:tc>
        <w:tc>
          <w:tcPr>
            <w:tcW w:w="596" w:type="pct"/>
            <w:tcBorders>
              <w:top w:val="nil"/>
              <w:left w:val="nil"/>
              <w:bottom w:val="nil"/>
              <w:right w:val="nil"/>
            </w:tcBorders>
            <w:shd w:val="clear" w:color="auto" w:fill="DEF7DF"/>
            <w:noWrap/>
            <w:vAlign w:val="center"/>
          </w:tcPr>
          <w:p w14:paraId="3EC6CCBE"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11.11%</w:t>
            </w:r>
          </w:p>
        </w:tc>
        <w:tc>
          <w:tcPr>
            <w:tcW w:w="596" w:type="pct"/>
            <w:tcBorders>
              <w:top w:val="nil"/>
              <w:left w:val="nil"/>
              <w:bottom w:val="nil"/>
              <w:right w:val="nil"/>
            </w:tcBorders>
            <w:shd w:val="clear" w:color="auto" w:fill="DEF7DF"/>
            <w:noWrap/>
            <w:vAlign w:val="center"/>
          </w:tcPr>
          <w:p w14:paraId="6BA95F6D"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20.00%</w:t>
            </w:r>
          </w:p>
        </w:tc>
        <w:tc>
          <w:tcPr>
            <w:tcW w:w="596" w:type="pct"/>
            <w:tcBorders>
              <w:top w:val="nil"/>
              <w:left w:val="nil"/>
              <w:bottom w:val="nil"/>
              <w:right w:val="nil"/>
            </w:tcBorders>
            <w:shd w:val="clear" w:color="auto" w:fill="DEF7DF"/>
            <w:noWrap/>
            <w:vAlign w:val="center"/>
          </w:tcPr>
          <w:p w14:paraId="5BBEC099"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3FEF8BEB"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63D78425"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74A380EF" w14:textId="77777777" w:rsidTr="00E63379">
        <w:trPr>
          <w:trHeight w:val="240"/>
        </w:trPr>
        <w:tc>
          <w:tcPr>
            <w:tcW w:w="2020" w:type="pct"/>
            <w:gridSpan w:val="2"/>
            <w:tcBorders>
              <w:top w:val="nil"/>
              <w:left w:val="nil"/>
              <w:bottom w:val="nil"/>
              <w:right w:val="nil"/>
            </w:tcBorders>
            <w:shd w:val="clear" w:color="auto" w:fill="EEEEEE"/>
            <w:noWrap/>
            <w:vAlign w:val="bottom"/>
          </w:tcPr>
          <w:p w14:paraId="2B8E0CE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not significant</w:t>
            </w:r>
          </w:p>
        </w:tc>
        <w:tc>
          <w:tcPr>
            <w:tcW w:w="596" w:type="pct"/>
            <w:tcBorders>
              <w:top w:val="nil"/>
              <w:left w:val="nil"/>
              <w:bottom w:val="nil"/>
              <w:right w:val="nil"/>
            </w:tcBorders>
            <w:shd w:val="clear" w:color="auto" w:fill="DEF7DF"/>
            <w:noWrap/>
            <w:vAlign w:val="center"/>
          </w:tcPr>
          <w:p w14:paraId="0390CC0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64EF5260"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4C380B0F"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0.00%</w:t>
            </w:r>
          </w:p>
        </w:tc>
        <w:tc>
          <w:tcPr>
            <w:tcW w:w="596" w:type="pct"/>
            <w:tcBorders>
              <w:top w:val="nil"/>
              <w:left w:val="nil"/>
              <w:bottom w:val="nil"/>
              <w:right w:val="nil"/>
            </w:tcBorders>
            <w:shd w:val="clear" w:color="auto" w:fill="DEF7DF"/>
            <w:noWrap/>
            <w:vAlign w:val="center"/>
          </w:tcPr>
          <w:p w14:paraId="1D0D24A7"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16.67%</w:t>
            </w:r>
          </w:p>
        </w:tc>
        <w:tc>
          <w:tcPr>
            <w:tcW w:w="596" w:type="pct"/>
            <w:tcBorders>
              <w:top w:val="nil"/>
              <w:left w:val="nil"/>
              <w:bottom w:val="nil"/>
              <w:right w:val="nil"/>
            </w:tcBorders>
            <w:shd w:val="clear" w:color="auto" w:fill="DEE9F7"/>
            <w:noWrap/>
            <w:vAlign w:val="bottom"/>
          </w:tcPr>
          <w:p w14:paraId="1C43EB38"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r>
      <w:tr w:rsidR="00382CF9" w:rsidRPr="00382CF9" w14:paraId="2DC6574D" w14:textId="77777777" w:rsidTr="00E63379">
        <w:trPr>
          <w:trHeight w:val="240"/>
        </w:trPr>
        <w:tc>
          <w:tcPr>
            <w:tcW w:w="2020" w:type="pct"/>
            <w:gridSpan w:val="2"/>
            <w:tcBorders>
              <w:top w:val="nil"/>
              <w:left w:val="nil"/>
              <w:bottom w:val="nil"/>
              <w:right w:val="nil"/>
            </w:tcBorders>
            <w:shd w:val="clear" w:color="auto" w:fill="EEEEEE"/>
            <w:noWrap/>
            <w:vAlign w:val="bottom"/>
          </w:tcPr>
          <w:p w14:paraId="3F963681" w14:textId="77777777" w:rsidR="00382CF9" w:rsidRPr="00382CF9" w:rsidRDefault="00382CF9" w:rsidP="00382CF9">
            <w:pPr>
              <w:rPr>
                <w:rFonts w:ascii="Microsoft Sans Serif" w:hAnsi="Microsoft Sans Serif" w:cs="Microsoft Sans Serif"/>
                <w:sz w:val="20"/>
                <w:szCs w:val="20"/>
              </w:rPr>
            </w:pPr>
            <w:r w:rsidRPr="00382CF9">
              <w:rPr>
                <w:rFonts w:ascii="Microsoft Sans Serif" w:hAnsi="Microsoft Sans Serif" w:cs="Microsoft Sans Serif"/>
                <w:sz w:val="20"/>
                <w:szCs w:val="20"/>
              </w:rPr>
              <w:t> </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00B5B91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45</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5689C8F2"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7EEECAD9"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1</w:t>
            </w:r>
          </w:p>
        </w:tc>
        <w:tc>
          <w:tcPr>
            <w:tcW w:w="596" w:type="pct"/>
            <w:tcBorders>
              <w:top w:val="single" w:sz="4" w:space="0" w:color="FFFFFF"/>
              <w:left w:val="single" w:sz="4" w:space="0" w:color="FFFFFF"/>
              <w:bottom w:val="single" w:sz="4" w:space="0" w:color="FFFFFF"/>
              <w:right w:val="single" w:sz="4" w:space="0" w:color="FFFFFF"/>
            </w:tcBorders>
            <w:shd w:val="clear" w:color="auto" w:fill="CCE5CD"/>
            <w:noWrap/>
            <w:vAlign w:val="center"/>
          </w:tcPr>
          <w:p w14:paraId="29E8D175"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6</w:t>
            </w:r>
          </w:p>
        </w:tc>
        <w:tc>
          <w:tcPr>
            <w:tcW w:w="596" w:type="pct"/>
            <w:tcBorders>
              <w:top w:val="nil"/>
              <w:left w:val="nil"/>
              <w:bottom w:val="nil"/>
              <w:right w:val="nil"/>
            </w:tcBorders>
            <w:shd w:val="clear" w:color="auto" w:fill="CDD8E6"/>
            <w:noWrap/>
            <w:vAlign w:val="center"/>
          </w:tcPr>
          <w:p w14:paraId="63B83B43" w14:textId="77777777" w:rsidR="00382CF9" w:rsidRPr="00382CF9" w:rsidRDefault="00382CF9" w:rsidP="00382CF9">
            <w:pPr>
              <w:jc w:val="center"/>
              <w:rPr>
                <w:rFonts w:ascii="Microsoft Sans Serif" w:hAnsi="Microsoft Sans Serif" w:cs="Microsoft Sans Serif"/>
                <w:sz w:val="20"/>
                <w:szCs w:val="20"/>
              </w:rPr>
            </w:pPr>
            <w:r w:rsidRPr="00382CF9">
              <w:rPr>
                <w:rFonts w:ascii="Microsoft Sans Serif" w:hAnsi="Microsoft Sans Serif" w:cs="Microsoft Sans Serif"/>
                <w:sz w:val="20"/>
                <w:szCs w:val="20"/>
              </w:rPr>
              <w:t>57</w:t>
            </w:r>
          </w:p>
        </w:tc>
      </w:tr>
    </w:tbl>
    <w:p w14:paraId="2D0FF645" w14:textId="77777777" w:rsidR="005B4724" w:rsidRDefault="005B4724" w:rsidP="002C0329">
      <w:pPr>
        <w:spacing w:line="480" w:lineRule="auto"/>
        <w:ind w:firstLine="720"/>
        <w:jc w:val="both"/>
        <w:rPr>
          <w:rFonts w:ascii="Times New Roman" w:hAnsi="Times New Roman"/>
        </w:rPr>
      </w:pPr>
    </w:p>
    <w:p w14:paraId="586791FA" w14:textId="77777777" w:rsidR="005B4724" w:rsidRDefault="00382CF9" w:rsidP="002C0329">
      <w:pPr>
        <w:spacing w:line="480" w:lineRule="auto"/>
        <w:ind w:firstLine="720"/>
        <w:jc w:val="both"/>
        <w:rPr>
          <w:rFonts w:ascii="Times New Roman" w:hAnsi="Times New Roman"/>
        </w:rPr>
      </w:pPr>
      <w:r>
        <w:rPr>
          <w:rFonts w:ascii="Times New Roman" w:hAnsi="Times New Roman"/>
        </w:rPr>
        <w:t xml:space="preserve">Once again, we find that cost is not an immediate priority for managers who supervise more that 75% of a Department’s consulting budget whereas it seems more important for managers that handle smaller percentages of the consulting budget. </w:t>
      </w:r>
    </w:p>
    <w:p w14:paraId="185806A7" w14:textId="77777777" w:rsidR="005B4724" w:rsidRDefault="005B4724" w:rsidP="002C0329">
      <w:pPr>
        <w:spacing w:line="480" w:lineRule="auto"/>
        <w:ind w:firstLine="720"/>
        <w:jc w:val="both"/>
        <w:rPr>
          <w:rFonts w:ascii="Times New Roman" w:hAnsi="Times New Roman"/>
        </w:rPr>
      </w:pPr>
    </w:p>
    <w:p w14:paraId="0403FE8D" w14:textId="77777777" w:rsidR="005B4724" w:rsidRDefault="005B4724" w:rsidP="002C0329">
      <w:pPr>
        <w:spacing w:line="480" w:lineRule="auto"/>
        <w:ind w:firstLine="720"/>
        <w:jc w:val="both"/>
        <w:rPr>
          <w:rFonts w:ascii="Times New Roman" w:hAnsi="Times New Roman"/>
        </w:rPr>
      </w:pPr>
    </w:p>
    <w:p w14:paraId="28491E72" w14:textId="77777777" w:rsidR="005B4724" w:rsidRDefault="005B4724" w:rsidP="002C0329">
      <w:pPr>
        <w:spacing w:line="480" w:lineRule="auto"/>
        <w:ind w:firstLine="720"/>
        <w:jc w:val="both"/>
        <w:rPr>
          <w:rFonts w:ascii="Times New Roman" w:hAnsi="Times New Roman"/>
        </w:rPr>
      </w:pPr>
    </w:p>
    <w:p w14:paraId="1821D03C" w14:textId="77777777" w:rsidR="005B4724" w:rsidRDefault="005B4724" w:rsidP="002C0329">
      <w:pPr>
        <w:spacing w:line="480" w:lineRule="auto"/>
        <w:ind w:firstLine="720"/>
        <w:jc w:val="both"/>
        <w:rPr>
          <w:rFonts w:ascii="Times New Roman" w:hAnsi="Times New Roman"/>
        </w:rPr>
      </w:pPr>
    </w:p>
    <w:p w14:paraId="643E58F3" w14:textId="77777777" w:rsidR="005B4724" w:rsidRDefault="005B4724" w:rsidP="002C0329">
      <w:pPr>
        <w:spacing w:line="480" w:lineRule="auto"/>
        <w:ind w:firstLine="720"/>
        <w:jc w:val="both"/>
        <w:rPr>
          <w:rFonts w:ascii="Times New Roman" w:hAnsi="Times New Roman"/>
        </w:rPr>
      </w:pPr>
    </w:p>
    <w:p w14:paraId="46E7433C" w14:textId="530FD46F" w:rsidR="002C0329" w:rsidRDefault="002C0329" w:rsidP="002C0329">
      <w:pPr>
        <w:spacing w:line="480" w:lineRule="auto"/>
        <w:ind w:firstLine="720"/>
        <w:jc w:val="both"/>
        <w:rPr>
          <w:rFonts w:ascii="Times New Roman" w:hAnsi="Times New Roman"/>
        </w:rPr>
      </w:pPr>
      <w:r>
        <w:rPr>
          <w:rFonts w:ascii="Times New Roman" w:hAnsi="Times New Roman"/>
        </w:rPr>
        <w:t xml:space="preserve">As Table </w:t>
      </w:r>
      <w:r w:rsidR="0009664C">
        <w:rPr>
          <w:rFonts w:ascii="Times New Roman" w:hAnsi="Times New Roman"/>
        </w:rPr>
        <w:t>5</w:t>
      </w:r>
      <w:r>
        <w:rPr>
          <w:rFonts w:ascii="Times New Roman" w:hAnsi="Times New Roman"/>
        </w:rPr>
        <w:t xml:space="preserve"> suggests, most managers think that whatever expertise shortfalls exist will be short-term as planning horizons are in 93% of the cases for less than two years.</w:t>
      </w:r>
    </w:p>
    <w:p w14:paraId="310B3049" w14:textId="2155791F" w:rsidR="002C0329" w:rsidRDefault="002C0329" w:rsidP="002C0329">
      <w:pPr>
        <w:jc w:val="both"/>
        <w:rPr>
          <w:rFonts w:ascii="Times New Roman" w:hAnsi="Times New Roman"/>
        </w:rPr>
      </w:pPr>
      <w:r>
        <w:rPr>
          <w:rFonts w:ascii="Times New Roman" w:hAnsi="Times New Roman"/>
          <w:i/>
        </w:rPr>
        <w:t xml:space="preserve">Table </w:t>
      </w:r>
      <w:r w:rsidR="0009664C">
        <w:rPr>
          <w:rFonts w:ascii="Times New Roman" w:hAnsi="Times New Roman"/>
          <w:i/>
        </w:rPr>
        <w:t>5</w:t>
      </w:r>
      <w:r>
        <w:rPr>
          <w:rFonts w:ascii="Times New Roman" w:hAnsi="Times New Roman"/>
          <w:i/>
        </w:rPr>
        <w:t xml:space="preserve"> Planning Horizon for Departmental Consultancy Needs</w:t>
      </w:r>
    </w:p>
    <w:tbl>
      <w:tblPr>
        <w:tblW w:w="6112" w:type="dxa"/>
        <w:tblInd w:w="108" w:type="dxa"/>
        <w:tblLook w:val="0000" w:firstRow="0" w:lastRow="0" w:firstColumn="0" w:lastColumn="0" w:noHBand="0" w:noVBand="0"/>
      </w:tblPr>
      <w:tblGrid>
        <w:gridCol w:w="1746"/>
        <w:gridCol w:w="3115"/>
        <w:gridCol w:w="1251"/>
      </w:tblGrid>
      <w:tr w:rsidR="002C0329" w:rsidRPr="00166002" w14:paraId="29EB78E4" w14:textId="77777777">
        <w:trPr>
          <w:trHeight w:val="674"/>
        </w:trPr>
        <w:tc>
          <w:tcPr>
            <w:tcW w:w="1863" w:type="dxa"/>
            <w:tcBorders>
              <w:top w:val="nil"/>
              <w:left w:val="nil"/>
              <w:right w:val="nil"/>
            </w:tcBorders>
            <w:shd w:val="clear" w:color="auto" w:fill="DEE9F7"/>
            <w:vAlign w:val="center"/>
          </w:tcPr>
          <w:p w14:paraId="1548320B" w14:textId="77777777" w:rsidR="002C0329" w:rsidRPr="00166002" w:rsidRDefault="002C0329" w:rsidP="00953674">
            <w:pPr>
              <w:rPr>
                <w:rFonts w:ascii="Microsoft Sans Serif" w:hAnsi="Microsoft Sans Serif"/>
                <w:b/>
                <w:bCs/>
                <w:color w:val="000000"/>
                <w:sz w:val="20"/>
                <w:szCs w:val="20"/>
              </w:rPr>
            </w:pPr>
            <w:r w:rsidRPr="00166002">
              <w:rPr>
                <w:rFonts w:ascii="Microsoft Sans Serif" w:hAnsi="Microsoft Sans Serif"/>
                <w:b/>
                <w:bCs/>
                <w:color w:val="000000"/>
                <w:sz w:val="20"/>
                <w:szCs w:val="20"/>
              </w:rPr>
              <w:t>Answer Options</w:t>
            </w:r>
          </w:p>
        </w:tc>
        <w:tc>
          <w:tcPr>
            <w:tcW w:w="3115" w:type="dxa"/>
            <w:tcBorders>
              <w:top w:val="nil"/>
              <w:left w:val="nil"/>
              <w:right w:val="nil"/>
            </w:tcBorders>
            <w:shd w:val="clear" w:color="auto" w:fill="CDD8E6"/>
            <w:vAlign w:val="center"/>
          </w:tcPr>
          <w:p w14:paraId="0DB49B74" w14:textId="77777777" w:rsidR="002C0329" w:rsidRPr="00166002" w:rsidRDefault="002C0329" w:rsidP="00953674">
            <w:pPr>
              <w:jc w:val="center"/>
              <w:rPr>
                <w:rFonts w:ascii="Microsoft Sans Serif" w:hAnsi="Microsoft Sans Serif"/>
                <w:b/>
                <w:bCs/>
                <w:color w:val="000000"/>
                <w:sz w:val="20"/>
                <w:szCs w:val="20"/>
              </w:rPr>
            </w:pPr>
            <w:r w:rsidRPr="00166002">
              <w:rPr>
                <w:rFonts w:ascii="Microsoft Sans Serif" w:hAnsi="Microsoft Sans Serif"/>
                <w:b/>
                <w:bCs/>
                <w:color w:val="000000"/>
                <w:sz w:val="20"/>
                <w:szCs w:val="20"/>
              </w:rPr>
              <w:t>Response Percent</w:t>
            </w:r>
          </w:p>
        </w:tc>
        <w:tc>
          <w:tcPr>
            <w:tcW w:w="1134" w:type="dxa"/>
            <w:tcBorders>
              <w:top w:val="nil"/>
              <w:left w:val="nil"/>
              <w:right w:val="nil"/>
            </w:tcBorders>
            <w:shd w:val="clear" w:color="auto" w:fill="CDD8E6"/>
            <w:vAlign w:val="center"/>
          </w:tcPr>
          <w:p w14:paraId="64BC613E" w14:textId="77777777" w:rsidR="002C0329" w:rsidRPr="00166002" w:rsidRDefault="002C0329" w:rsidP="00953674">
            <w:pPr>
              <w:jc w:val="center"/>
              <w:rPr>
                <w:rFonts w:ascii="Microsoft Sans Serif" w:hAnsi="Microsoft Sans Serif"/>
                <w:b/>
                <w:bCs/>
                <w:color w:val="000000"/>
                <w:sz w:val="20"/>
                <w:szCs w:val="20"/>
              </w:rPr>
            </w:pPr>
            <w:r w:rsidRPr="00166002">
              <w:rPr>
                <w:rFonts w:ascii="Microsoft Sans Serif" w:hAnsi="Microsoft Sans Serif"/>
                <w:b/>
                <w:bCs/>
                <w:color w:val="000000"/>
                <w:sz w:val="20"/>
                <w:szCs w:val="20"/>
              </w:rPr>
              <w:t>Response Count</w:t>
            </w:r>
          </w:p>
        </w:tc>
      </w:tr>
      <w:tr w:rsidR="002C0329" w:rsidRPr="00166002" w14:paraId="4113607D" w14:textId="77777777">
        <w:trPr>
          <w:trHeight w:val="270"/>
        </w:trPr>
        <w:tc>
          <w:tcPr>
            <w:tcW w:w="1863" w:type="dxa"/>
            <w:tcBorders>
              <w:top w:val="nil"/>
              <w:left w:val="nil"/>
              <w:bottom w:val="nil"/>
              <w:right w:val="nil"/>
            </w:tcBorders>
            <w:shd w:val="clear" w:color="auto" w:fill="auto"/>
            <w:vAlign w:val="bottom"/>
          </w:tcPr>
          <w:p w14:paraId="498995D9" w14:textId="77777777" w:rsidR="002C0329" w:rsidRPr="00166002" w:rsidRDefault="002C0329" w:rsidP="00953674">
            <w:pPr>
              <w:rPr>
                <w:rFonts w:ascii="Microsoft Sans Serif" w:hAnsi="Microsoft Sans Serif"/>
                <w:sz w:val="20"/>
                <w:szCs w:val="20"/>
              </w:rPr>
            </w:pPr>
            <w:r w:rsidRPr="00166002">
              <w:rPr>
                <w:rFonts w:ascii="Microsoft Sans Serif" w:hAnsi="Microsoft Sans Serif"/>
                <w:sz w:val="20"/>
                <w:szCs w:val="20"/>
              </w:rPr>
              <w:t>&lt; 1 year</w:t>
            </w:r>
          </w:p>
        </w:tc>
        <w:tc>
          <w:tcPr>
            <w:tcW w:w="3115" w:type="dxa"/>
            <w:tcBorders>
              <w:top w:val="nil"/>
              <w:left w:val="nil"/>
              <w:bottom w:val="nil"/>
              <w:right w:val="nil"/>
            </w:tcBorders>
            <w:shd w:val="clear" w:color="auto" w:fill="auto"/>
            <w:noWrap/>
            <w:vAlign w:val="center"/>
          </w:tcPr>
          <w:p w14:paraId="3E468990"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48.5%</w:t>
            </w:r>
          </w:p>
        </w:tc>
        <w:tc>
          <w:tcPr>
            <w:tcW w:w="1134" w:type="dxa"/>
            <w:tcBorders>
              <w:top w:val="nil"/>
              <w:left w:val="nil"/>
              <w:bottom w:val="nil"/>
              <w:right w:val="nil"/>
            </w:tcBorders>
            <w:shd w:val="clear" w:color="auto" w:fill="auto"/>
            <w:noWrap/>
            <w:vAlign w:val="center"/>
          </w:tcPr>
          <w:p w14:paraId="33182A16"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49</w:t>
            </w:r>
          </w:p>
        </w:tc>
      </w:tr>
      <w:tr w:rsidR="002C0329" w:rsidRPr="00166002" w14:paraId="6380546E" w14:textId="77777777">
        <w:trPr>
          <w:trHeight w:val="270"/>
        </w:trPr>
        <w:tc>
          <w:tcPr>
            <w:tcW w:w="1863" w:type="dxa"/>
            <w:tcBorders>
              <w:top w:val="nil"/>
              <w:left w:val="nil"/>
              <w:bottom w:val="nil"/>
              <w:right w:val="nil"/>
            </w:tcBorders>
            <w:shd w:val="clear" w:color="auto" w:fill="auto"/>
            <w:vAlign w:val="bottom"/>
          </w:tcPr>
          <w:p w14:paraId="1F6974BA" w14:textId="77777777" w:rsidR="002C0329" w:rsidRPr="00166002" w:rsidRDefault="002C0329" w:rsidP="00953674">
            <w:pPr>
              <w:rPr>
                <w:rFonts w:ascii="Microsoft Sans Serif" w:hAnsi="Microsoft Sans Serif"/>
                <w:sz w:val="20"/>
                <w:szCs w:val="20"/>
              </w:rPr>
            </w:pPr>
            <w:r w:rsidRPr="00166002">
              <w:rPr>
                <w:rFonts w:ascii="Microsoft Sans Serif" w:hAnsi="Microsoft Sans Serif"/>
                <w:sz w:val="20"/>
                <w:szCs w:val="20"/>
              </w:rPr>
              <w:t>1-2 years</w:t>
            </w:r>
          </w:p>
        </w:tc>
        <w:tc>
          <w:tcPr>
            <w:tcW w:w="3115" w:type="dxa"/>
            <w:tcBorders>
              <w:top w:val="nil"/>
              <w:left w:val="nil"/>
              <w:bottom w:val="nil"/>
              <w:right w:val="nil"/>
            </w:tcBorders>
            <w:shd w:val="clear" w:color="auto" w:fill="auto"/>
            <w:noWrap/>
            <w:vAlign w:val="center"/>
          </w:tcPr>
          <w:p w14:paraId="2BAFCAD4"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43.6%</w:t>
            </w:r>
          </w:p>
        </w:tc>
        <w:tc>
          <w:tcPr>
            <w:tcW w:w="1134" w:type="dxa"/>
            <w:tcBorders>
              <w:top w:val="nil"/>
              <w:left w:val="nil"/>
              <w:bottom w:val="nil"/>
              <w:right w:val="nil"/>
            </w:tcBorders>
            <w:shd w:val="clear" w:color="auto" w:fill="auto"/>
            <w:noWrap/>
            <w:vAlign w:val="center"/>
          </w:tcPr>
          <w:p w14:paraId="1204F6E4"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44</w:t>
            </w:r>
          </w:p>
        </w:tc>
      </w:tr>
      <w:tr w:rsidR="002C0329" w:rsidRPr="00166002" w14:paraId="4B57D132" w14:textId="77777777">
        <w:trPr>
          <w:trHeight w:val="270"/>
        </w:trPr>
        <w:tc>
          <w:tcPr>
            <w:tcW w:w="1863" w:type="dxa"/>
            <w:tcBorders>
              <w:top w:val="nil"/>
              <w:left w:val="nil"/>
              <w:bottom w:val="nil"/>
              <w:right w:val="nil"/>
            </w:tcBorders>
            <w:shd w:val="clear" w:color="auto" w:fill="auto"/>
            <w:vAlign w:val="bottom"/>
          </w:tcPr>
          <w:p w14:paraId="4D33E45D" w14:textId="77777777" w:rsidR="002C0329" w:rsidRPr="00166002" w:rsidRDefault="002C0329" w:rsidP="00953674">
            <w:pPr>
              <w:rPr>
                <w:rFonts w:ascii="Microsoft Sans Serif" w:hAnsi="Microsoft Sans Serif"/>
                <w:sz w:val="20"/>
                <w:szCs w:val="20"/>
              </w:rPr>
            </w:pPr>
            <w:r w:rsidRPr="00166002">
              <w:rPr>
                <w:rFonts w:ascii="Microsoft Sans Serif" w:hAnsi="Microsoft Sans Serif"/>
                <w:sz w:val="20"/>
                <w:szCs w:val="20"/>
              </w:rPr>
              <w:t>3-5 years</w:t>
            </w:r>
          </w:p>
        </w:tc>
        <w:tc>
          <w:tcPr>
            <w:tcW w:w="3115" w:type="dxa"/>
            <w:tcBorders>
              <w:top w:val="nil"/>
              <w:left w:val="nil"/>
              <w:bottom w:val="nil"/>
              <w:right w:val="nil"/>
            </w:tcBorders>
            <w:shd w:val="clear" w:color="auto" w:fill="auto"/>
            <w:noWrap/>
            <w:vAlign w:val="center"/>
          </w:tcPr>
          <w:p w14:paraId="5ACCACE9"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6.9%</w:t>
            </w:r>
          </w:p>
        </w:tc>
        <w:tc>
          <w:tcPr>
            <w:tcW w:w="1134" w:type="dxa"/>
            <w:tcBorders>
              <w:top w:val="nil"/>
              <w:left w:val="nil"/>
              <w:bottom w:val="nil"/>
              <w:right w:val="nil"/>
            </w:tcBorders>
            <w:shd w:val="clear" w:color="auto" w:fill="auto"/>
            <w:noWrap/>
            <w:vAlign w:val="center"/>
          </w:tcPr>
          <w:p w14:paraId="79123A69"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7</w:t>
            </w:r>
          </w:p>
        </w:tc>
      </w:tr>
      <w:tr w:rsidR="002C0329" w:rsidRPr="00166002" w14:paraId="45D5F396" w14:textId="77777777">
        <w:trPr>
          <w:trHeight w:val="270"/>
        </w:trPr>
        <w:tc>
          <w:tcPr>
            <w:tcW w:w="1863" w:type="dxa"/>
            <w:tcBorders>
              <w:top w:val="nil"/>
              <w:left w:val="nil"/>
              <w:bottom w:val="nil"/>
              <w:right w:val="nil"/>
            </w:tcBorders>
            <w:shd w:val="clear" w:color="auto" w:fill="auto"/>
            <w:vAlign w:val="bottom"/>
          </w:tcPr>
          <w:p w14:paraId="0301392B" w14:textId="77777777" w:rsidR="002C0329" w:rsidRPr="00166002" w:rsidRDefault="002C0329" w:rsidP="00953674">
            <w:pPr>
              <w:rPr>
                <w:rFonts w:ascii="Microsoft Sans Serif" w:hAnsi="Microsoft Sans Serif"/>
                <w:sz w:val="20"/>
                <w:szCs w:val="20"/>
              </w:rPr>
            </w:pPr>
            <w:r w:rsidRPr="00166002">
              <w:rPr>
                <w:rFonts w:ascii="Microsoft Sans Serif" w:hAnsi="Microsoft Sans Serif"/>
                <w:sz w:val="20"/>
                <w:szCs w:val="20"/>
              </w:rPr>
              <w:t>&gt;5 years</w:t>
            </w:r>
          </w:p>
        </w:tc>
        <w:tc>
          <w:tcPr>
            <w:tcW w:w="3115" w:type="dxa"/>
            <w:tcBorders>
              <w:top w:val="nil"/>
              <w:left w:val="nil"/>
              <w:bottom w:val="nil"/>
              <w:right w:val="nil"/>
            </w:tcBorders>
            <w:shd w:val="clear" w:color="auto" w:fill="auto"/>
            <w:noWrap/>
            <w:vAlign w:val="center"/>
          </w:tcPr>
          <w:p w14:paraId="60FADD78"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1.0%</w:t>
            </w:r>
          </w:p>
        </w:tc>
        <w:tc>
          <w:tcPr>
            <w:tcW w:w="1134" w:type="dxa"/>
            <w:tcBorders>
              <w:top w:val="nil"/>
              <w:left w:val="nil"/>
              <w:bottom w:val="nil"/>
              <w:right w:val="nil"/>
            </w:tcBorders>
            <w:shd w:val="clear" w:color="auto" w:fill="auto"/>
            <w:noWrap/>
            <w:vAlign w:val="center"/>
          </w:tcPr>
          <w:p w14:paraId="130F1CF1" w14:textId="77777777" w:rsidR="002C0329" w:rsidRPr="00166002" w:rsidRDefault="002C0329" w:rsidP="00953674">
            <w:pPr>
              <w:jc w:val="center"/>
              <w:rPr>
                <w:rFonts w:ascii="Microsoft Sans Serif" w:hAnsi="Microsoft Sans Serif"/>
                <w:sz w:val="20"/>
                <w:szCs w:val="20"/>
              </w:rPr>
            </w:pPr>
            <w:r w:rsidRPr="00166002">
              <w:rPr>
                <w:rFonts w:ascii="Microsoft Sans Serif" w:hAnsi="Microsoft Sans Serif"/>
                <w:sz w:val="20"/>
                <w:szCs w:val="20"/>
              </w:rPr>
              <w:t>1</w:t>
            </w:r>
          </w:p>
        </w:tc>
      </w:tr>
    </w:tbl>
    <w:p w14:paraId="3BEE9783" w14:textId="77777777" w:rsidR="002C0329" w:rsidRDefault="002C0329" w:rsidP="002C0329">
      <w:pPr>
        <w:jc w:val="both"/>
        <w:rPr>
          <w:rFonts w:ascii="Times New Roman" w:hAnsi="Times New Roman"/>
        </w:rPr>
      </w:pPr>
      <w:r w:rsidRPr="008B0A1E">
        <w:rPr>
          <w:rFonts w:ascii="Times New Roman" w:hAnsi="Times New Roman"/>
          <w:i/>
          <w:sz w:val="20"/>
        </w:rPr>
        <w:t>Source Q.</w:t>
      </w:r>
      <w:r>
        <w:rPr>
          <w:rFonts w:ascii="Times New Roman" w:hAnsi="Times New Roman"/>
          <w:i/>
          <w:sz w:val="20"/>
        </w:rPr>
        <w:t>11</w:t>
      </w:r>
    </w:p>
    <w:p w14:paraId="4B374425" w14:textId="77777777" w:rsidR="002C0329" w:rsidRPr="008B0A1E" w:rsidRDefault="002C0329" w:rsidP="002C0329">
      <w:pPr>
        <w:ind w:firstLine="720"/>
        <w:jc w:val="both"/>
        <w:rPr>
          <w:rFonts w:ascii="Times New Roman" w:hAnsi="Times New Roman"/>
        </w:rPr>
      </w:pPr>
    </w:p>
    <w:p w14:paraId="223E2B31" w14:textId="77777777" w:rsidR="002C0329" w:rsidRDefault="002C0329" w:rsidP="008150F7">
      <w:pPr>
        <w:ind w:firstLine="720"/>
        <w:jc w:val="both"/>
        <w:rPr>
          <w:rFonts w:ascii="Times New Roman" w:hAnsi="Times New Roman"/>
        </w:rPr>
      </w:pPr>
    </w:p>
    <w:p w14:paraId="460BB1EB" w14:textId="67146916" w:rsidR="002C0329" w:rsidRDefault="002C0329" w:rsidP="002C0329">
      <w:pPr>
        <w:spacing w:line="480" w:lineRule="auto"/>
        <w:jc w:val="both"/>
        <w:rPr>
          <w:rFonts w:ascii="Times New Roman" w:hAnsi="Times New Roman"/>
        </w:rPr>
      </w:pPr>
      <w:r>
        <w:rPr>
          <w:rFonts w:ascii="Times New Roman" w:hAnsi="Times New Roman"/>
        </w:rPr>
        <w:t xml:space="preserve">This, in turn (see Table </w:t>
      </w:r>
      <w:r w:rsidR="0009664C">
        <w:rPr>
          <w:rFonts w:ascii="Times New Roman" w:hAnsi="Times New Roman"/>
        </w:rPr>
        <w:t>6</w:t>
      </w:r>
      <w:r>
        <w:rPr>
          <w:rFonts w:ascii="Times New Roman" w:hAnsi="Times New Roman"/>
        </w:rPr>
        <w:t>) may influence managerial perceptions of the likely trends of contracting activity in this area, where t</w:t>
      </w:r>
      <w:r w:rsidR="0064082E" w:rsidRPr="008B0A1E">
        <w:rPr>
          <w:rFonts w:ascii="Times New Roman" w:hAnsi="Times New Roman"/>
        </w:rPr>
        <w:t xml:space="preserve">he expectation of the majority of respondents is that consulting need will remain the same (51%) </w:t>
      </w:r>
      <w:r>
        <w:rPr>
          <w:rFonts w:ascii="Times New Roman" w:hAnsi="Times New Roman"/>
        </w:rPr>
        <w:t>(see Table 2</w:t>
      </w:r>
      <w:r w:rsidR="0004080F">
        <w:rPr>
          <w:rFonts w:ascii="Times New Roman" w:hAnsi="Times New Roman"/>
        </w:rPr>
        <w:t>).</w:t>
      </w:r>
    </w:p>
    <w:p w14:paraId="49B56A46" w14:textId="77777777" w:rsidR="008150F7" w:rsidRPr="008150F7" w:rsidRDefault="008150F7" w:rsidP="008150F7">
      <w:pPr>
        <w:jc w:val="both"/>
        <w:rPr>
          <w:rFonts w:ascii="Times New Roman" w:hAnsi="Times New Roman"/>
        </w:rPr>
      </w:pPr>
    </w:p>
    <w:p w14:paraId="4FBADA78" w14:textId="15104E22" w:rsidR="00CC4F3E" w:rsidRDefault="00CC4F3E" w:rsidP="00CC4F3E">
      <w:pPr>
        <w:jc w:val="both"/>
        <w:rPr>
          <w:rFonts w:ascii="Times New Roman" w:hAnsi="Times New Roman"/>
        </w:rPr>
      </w:pPr>
      <w:r>
        <w:rPr>
          <w:rFonts w:ascii="Times New Roman" w:hAnsi="Times New Roman"/>
          <w:i/>
        </w:rPr>
        <w:t>Table</w:t>
      </w:r>
      <w:r w:rsidR="002C0329">
        <w:rPr>
          <w:rFonts w:ascii="Times New Roman" w:hAnsi="Times New Roman"/>
          <w:i/>
        </w:rPr>
        <w:t xml:space="preserve"> </w:t>
      </w:r>
      <w:r w:rsidR="0009664C">
        <w:rPr>
          <w:rFonts w:ascii="Times New Roman" w:hAnsi="Times New Roman"/>
          <w:i/>
        </w:rPr>
        <w:t>6</w:t>
      </w:r>
      <w:r>
        <w:rPr>
          <w:rFonts w:ascii="Times New Roman" w:hAnsi="Times New Roman"/>
          <w:i/>
        </w:rPr>
        <w:t xml:space="preserve"> Expected Growth of Consultancy Needs (next 5 years)</w:t>
      </w:r>
    </w:p>
    <w:tbl>
      <w:tblPr>
        <w:tblW w:w="5752" w:type="dxa"/>
        <w:tblInd w:w="108" w:type="dxa"/>
        <w:tblLook w:val="0000" w:firstRow="0" w:lastRow="0" w:firstColumn="0" w:lastColumn="0" w:noHBand="0" w:noVBand="0"/>
      </w:tblPr>
      <w:tblGrid>
        <w:gridCol w:w="3250"/>
        <w:gridCol w:w="1251"/>
        <w:gridCol w:w="1251"/>
      </w:tblGrid>
      <w:tr w:rsidR="00CC4F3E" w:rsidRPr="00CC4F3E" w14:paraId="1277E8F0" w14:textId="77777777">
        <w:trPr>
          <w:trHeight w:val="600"/>
        </w:trPr>
        <w:tc>
          <w:tcPr>
            <w:tcW w:w="3250" w:type="dxa"/>
            <w:tcBorders>
              <w:top w:val="nil"/>
              <w:left w:val="nil"/>
              <w:right w:val="nil"/>
            </w:tcBorders>
            <w:shd w:val="clear" w:color="auto" w:fill="DEE9F7"/>
            <w:vAlign w:val="center"/>
          </w:tcPr>
          <w:p w14:paraId="4E5BFBAB" w14:textId="77777777" w:rsidR="00CC4F3E" w:rsidRPr="00CC4F3E" w:rsidRDefault="00CC4F3E" w:rsidP="00CC4F3E">
            <w:pPr>
              <w:rPr>
                <w:rFonts w:ascii="Microsoft Sans Serif" w:hAnsi="Microsoft Sans Serif"/>
                <w:b/>
                <w:bCs/>
                <w:color w:val="000000"/>
                <w:sz w:val="20"/>
                <w:szCs w:val="20"/>
              </w:rPr>
            </w:pPr>
            <w:r w:rsidRPr="00CC4F3E">
              <w:rPr>
                <w:rFonts w:ascii="Microsoft Sans Serif" w:hAnsi="Microsoft Sans Serif"/>
                <w:b/>
                <w:bCs/>
                <w:color w:val="000000"/>
                <w:sz w:val="20"/>
                <w:szCs w:val="20"/>
              </w:rPr>
              <w:t>Answer Options</w:t>
            </w:r>
          </w:p>
        </w:tc>
        <w:tc>
          <w:tcPr>
            <w:tcW w:w="1251" w:type="dxa"/>
            <w:tcBorders>
              <w:top w:val="nil"/>
              <w:left w:val="nil"/>
              <w:right w:val="nil"/>
            </w:tcBorders>
            <w:shd w:val="clear" w:color="auto" w:fill="CDD8E6"/>
            <w:vAlign w:val="center"/>
          </w:tcPr>
          <w:p w14:paraId="39D2B34D" w14:textId="77777777" w:rsidR="00CC4F3E" w:rsidRPr="00CC4F3E" w:rsidRDefault="00CC4F3E" w:rsidP="00CC4F3E">
            <w:pPr>
              <w:jc w:val="center"/>
              <w:rPr>
                <w:rFonts w:ascii="Microsoft Sans Serif" w:hAnsi="Microsoft Sans Serif"/>
                <w:b/>
                <w:bCs/>
                <w:color w:val="000000"/>
                <w:sz w:val="20"/>
                <w:szCs w:val="20"/>
              </w:rPr>
            </w:pPr>
            <w:r w:rsidRPr="00CC4F3E">
              <w:rPr>
                <w:rFonts w:ascii="Microsoft Sans Serif" w:hAnsi="Microsoft Sans Serif"/>
                <w:b/>
                <w:bCs/>
                <w:color w:val="000000"/>
                <w:sz w:val="20"/>
                <w:szCs w:val="20"/>
              </w:rPr>
              <w:t>Response Percent</w:t>
            </w:r>
          </w:p>
        </w:tc>
        <w:tc>
          <w:tcPr>
            <w:tcW w:w="1251" w:type="dxa"/>
            <w:tcBorders>
              <w:top w:val="nil"/>
              <w:left w:val="nil"/>
              <w:right w:val="nil"/>
            </w:tcBorders>
            <w:shd w:val="clear" w:color="auto" w:fill="CDD8E6"/>
            <w:vAlign w:val="center"/>
          </w:tcPr>
          <w:p w14:paraId="63356531" w14:textId="77777777" w:rsidR="00CC4F3E" w:rsidRPr="00CC4F3E" w:rsidRDefault="00CC4F3E" w:rsidP="00CC4F3E">
            <w:pPr>
              <w:jc w:val="center"/>
              <w:rPr>
                <w:rFonts w:ascii="Microsoft Sans Serif" w:hAnsi="Microsoft Sans Serif"/>
                <w:b/>
                <w:bCs/>
                <w:color w:val="000000"/>
                <w:sz w:val="20"/>
                <w:szCs w:val="20"/>
              </w:rPr>
            </w:pPr>
            <w:r w:rsidRPr="00CC4F3E">
              <w:rPr>
                <w:rFonts w:ascii="Microsoft Sans Serif" w:hAnsi="Microsoft Sans Serif"/>
                <w:b/>
                <w:bCs/>
                <w:color w:val="000000"/>
                <w:sz w:val="20"/>
                <w:szCs w:val="20"/>
              </w:rPr>
              <w:t>Response Count</w:t>
            </w:r>
          </w:p>
        </w:tc>
      </w:tr>
      <w:tr w:rsidR="00CC4F3E" w:rsidRPr="00CC4F3E" w14:paraId="23AAFD96" w14:textId="77777777">
        <w:trPr>
          <w:trHeight w:val="240"/>
        </w:trPr>
        <w:tc>
          <w:tcPr>
            <w:tcW w:w="3250" w:type="dxa"/>
            <w:tcBorders>
              <w:top w:val="nil"/>
              <w:left w:val="nil"/>
              <w:bottom w:val="nil"/>
              <w:right w:val="nil"/>
            </w:tcBorders>
            <w:shd w:val="clear" w:color="auto" w:fill="auto"/>
            <w:vAlign w:val="bottom"/>
          </w:tcPr>
          <w:p w14:paraId="1D2FF464" w14:textId="77777777" w:rsidR="00CC4F3E" w:rsidRPr="00CC4F3E" w:rsidRDefault="00CC4F3E" w:rsidP="00CC4F3E">
            <w:pPr>
              <w:rPr>
                <w:rFonts w:ascii="Microsoft Sans Serif" w:hAnsi="Microsoft Sans Serif"/>
                <w:sz w:val="20"/>
                <w:szCs w:val="20"/>
              </w:rPr>
            </w:pPr>
            <w:r w:rsidRPr="00CC4F3E">
              <w:rPr>
                <w:rFonts w:ascii="Microsoft Sans Serif" w:hAnsi="Microsoft Sans Serif"/>
                <w:sz w:val="20"/>
                <w:szCs w:val="20"/>
              </w:rPr>
              <w:t>Large increase</w:t>
            </w:r>
          </w:p>
        </w:tc>
        <w:tc>
          <w:tcPr>
            <w:tcW w:w="1251" w:type="dxa"/>
            <w:tcBorders>
              <w:top w:val="nil"/>
              <w:left w:val="nil"/>
              <w:bottom w:val="nil"/>
              <w:right w:val="nil"/>
            </w:tcBorders>
            <w:shd w:val="clear" w:color="auto" w:fill="auto"/>
            <w:noWrap/>
            <w:vAlign w:val="center"/>
          </w:tcPr>
          <w:p w14:paraId="53BF5274"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1.0%</w:t>
            </w:r>
          </w:p>
        </w:tc>
        <w:tc>
          <w:tcPr>
            <w:tcW w:w="1251" w:type="dxa"/>
            <w:tcBorders>
              <w:top w:val="nil"/>
              <w:left w:val="nil"/>
              <w:bottom w:val="nil"/>
              <w:right w:val="nil"/>
            </w:tcBorders>
            <w:shd w:val="clear" w:color="auto" w:fill="auto"/>
            <w:noWrap/>
            <w:vAlign w:val="center"/>
          </w:tcPr>
          <w:p w14:paraId="6DCB19D5"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1</w:t>
            </w:r>
          </w:p>
        </w:tc>
      </w:tr>
      <w:tr w:rsidR="00CC4F3E" w:rsidRPr="00CC4F3E" w14:paraId="5B7C2486" w14:textId="77777777">
        <w:trPr>
          <w:trHeight w:val="240"/>
        </w:trPr>
        <w:tc>
          <w:tcPr>
            <w:tcW w:w="3250" w:type="dxa"/>
            <w:tcBorders>
              <w:top w:val="nil"/>
              <w:left w:val="nil"/>
              <w:bottom w:val="nil"/>
              <w:right w:val="nil"/>
            </w:tcBorders>
            <w:shd w:val="clear" w:color="auto" w:fill="auto"/>
            <w:vAlign w:val="bottom"/>
          </w:tcPr>
          <w:p w14:paraId="71CF2B0C" w14:textId="77777777" w:rsidR="00CC4F3E" w:rsidRPr="00CC4F3E" w:rsidRDefault="00CC4F3E" w:rsidP="00CC4F3E">
            <w:pPr>
              <w:rPr>
                <w:rFonts w:ascii="Microsoft Sans Serif" w:hAnsi="Microsoft Sans Serif"/>
                <w:sz w:val="20"/>
                <w:szCs w:val="20"/>
              </w:rPr>
            </w:pPr>
            <w:r w:rsidRPr="00CC4F3E">
              <w:rPr>
                <w:rFonts w:ascii="Microsoft Sans Serif" w:hAnsi="Microsoft Sans Serif"/>
                <w:sz w:val="20"/>
                <w:szCs w:val="20"/>
              </w:rPr>
              <w:t>Increase</w:t>
            </w:r>
          </w:p>
        </w:tc>
        <w:tc>
          <w:tcPr>
            <w:tcW w:w="1251" w:type="dxa"/>
            <w:tcBorders>
              <w:top w:val="nil"/>
              <w:left w:val="nil"/>
              <w:bottom w:val="nil"/>
              <w:right w:val="nil"/>
            </w:tcBorders>
            <w:shd w:val="clear" w:color="auto" w:fill="auto"/>
            <w:noWrap/>
            <w:vAlign w:val="center"/>
          </w:tcPr>
          <w:p w14:paraId="33B3571B"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31.6%</w:t>
            </w:r>
          </w:p>
        </w:tc>
        <w:tc>
          <w:tcPr>
            <w:tcW w:w="1251" w:type="dxa"/>
            <w:tcBorders>
              <w:top w:val="nil"/>
              <w:left w:val="nil"/>
              <w:bottom w:val="nil"/>
              <w:right w:val="nil"/>
            </w:tcBorders>
            <w:shd w:val="clear" w:color="auto" w:fill="auto"/>
            <w:noWrap/>
            <w:vAlign w:val="center"/>
          </w:tcPr>
          <w:p w14:paraId="02218872"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31</w:t>
            </w:r>
          </w:p>
        </w:tc>
      </w:tr>
      <w:tr w:rsidR="00CC4F3E" w:rsidRPr="00CC4F3E" w14:paraId="2FAA2164" w14:textId="77777777">
        <w:trPr>
          <w:trHeight w:val="240"/>
        </w:trPr>
        <w:tc>
          <w:tcPr>
            <w:tcW w:w="3250" w:type="dxa"/>
            <w:tcBorders>
              <w:top w:val="nil"/>
              <w:left w:val="nil"/>
              <w:bottom w:val="nil"/>
              <w:right w:val="nil"/>
            </w:tcBorders>
            <w:shd w:val="clear" w:color="auto" w:fill="auto"/>
            <w:vAlign w:val="bottom"/>
          </w:tcPr>
          <w:p w14:paraId="449221D7" w14:textId="77777777" w:rsidR="00CC4F3E" w:rsidRPr="00CC4F3E" w:rsidRDefault="00CC4F3E" w:rsidP="00CC4F3E">
            <w:pPr>
              <w:rPr>
                <w:rFonts w:ascii="Microsoft Sans Serif" w:hAnsi="Microsoft Sans Serif"/>
                <w:sz w:val="20"/>
                <w:szCs w:val="20"/>
              </w:rPr>
            </w:pPr>
            <w:r w:rsidRPr="00CC4F3E">
              <w:rPr>
                <w:rFonts w:ascii="Microsoft Sans Serif" w:hAnsi="Microsoft Sans Serif"/>
                <w:sz w:val="20"/>
                <w:szCs w:val="20"/>
              </w:rPr>
              <w:t>No increase</w:t>
            </w:r>
          </w:p>
        </w:tc>
        <w:tc>
          <w:tcPr>
            <w:tcW w:w="1251" w:type="dxa"/>
            <w:tcBorders>
              <w:top w:val="nil"/>
              <w:left w:val="nil"/>
              <w:bottom w:val="nil"/>
              <w:right w:val="nil"/>
            </w:tcBorders>
            <w:shd w:val="clear" w:color="auto" w:fill="auto"/>
            <w:noWrap/>
            <w:vAlign w:val="center"/>
          </w:tcPr>
          <w:p w14:paraId="35291AEF"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51.0%</w:t>
            </w:r>
          </w:p>
        </w:tc>
        <w:tc>
          <w:tcPr>
            <w:tcW w:w="1251" w:type="dxa"/>
            <w:tcBorders>
              <w:top w:val="nil"/>
              <w:left w:val="nil"/>
              <w:bottom w:val="nil"/>
              <w:right w:val="nil"/>
            </w:tcBorders>
            <w:shd w:val="clear" w:color="auto" w:fill="auto"/>
            <w:noWrap/>
            <w:vAlign w:val="center"/>
          </w:tcPr>
          <w:p w14:paraId="04FB16E6"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50</w:t>
            </w:r>
          </w:p>
        </w:tc>
      </w:tr>
      <w:tr w:rsidR="00CC4F3E" w:rsidRPr="00CC4F3E" w14:paraId="41AC3697" w14:textId="77777777">
        <w:trPr>
          <w:trHeight w:val="240"/>
        </w:trPr>
        <w:tc>
          <w:tcPr>
            <w:tcW w:w="3250" w:type="dxa"/>
            <w:tcBorders>
              <w:top w:val="nil"/>
              <w:left w:val="nil"/>
              <w:bottom w:val="nil"/>
              <w:right w:val="nil"/>
            </w:tcBorders>
            <w:shd w:val="clear" w:color="auto" w:fill="auto"/>
            <w:vAlign w:val="bottom"/>
          </w:tcPr>
          <w:p w14:paraId="2CCFB6C5" w14:textId="77777777" w:rsidR="00CC4F3E" w:rsidRPr="00CC4F3E" w:rsidRDefault="00CC4F3E" w:rsidP="00CC4F3E">
            <w:pPr>
              <w:rPr>
                <w:rFonts w:ascii="Microsoft Sans Serif" w:hAnsi="Microsoft Sans Serif"/>
                <w:sz w:val="20"/>
                <w:szCs w:val="20"/>
              </w:rPr>
            </w:pPr>
            <w:r w:rsidRPr="00CC4F3E">
              <w:rPr>
                <w:rFonts w:ascii="Microsoft Sans Serif" w:hAnsi="Microsoft Sans Serif"/>
                <w:sz w:val="20"/>
                <w:szCs w:val="20"/>
              </w:rPr>
              <w:t>Decrease</w:t>
            </w:r>
          </w:p>
        </w:tc>
        <w:tc>
          <w:tcPr>
            <w:tcW w:w="1251" w:type="dxa"/>
            <w:tcBorders>
              <w:top w:val="nil"/>
              <w:left w:val="nil"/>
              <w:bottom w:val="nil"/>
              <w:right w:val="nil"/>
            </w:tcBorders>
            <w:shd w:val="clear" w:color="auto" w:fill="auto"/>
            <w:noWrap/>
            <w:vAlign w:val="center"/>
          </w:tcPr>
          <w:p w14:paraId="37A37B4F"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9.2%</w:t>
            </w:r>
          </w:p>
        </w:tc>
        <w:tc>
          <w:tcPr>
            <w:tcW w:w="1251" w:type="dxa"/>
            <w:tcBorders>
              <w:top w:val="nil"/>
              <w:left w:val="nil"/>
              <w:bottom w:val="nil"/>
              <w:right w:val="nil"/>
            </w:tcBorders>
            <w:shd w:val="clear" w:color="auto" w:fill="auto"/>
            <w:noWrap/>
            <w:vAlign w:val="center"/>
          </w:tcPr>
          <w:p w14:paraId="15BE5414"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9</w:t>
            </w:r>
          </w:p>
        </w:tc>
      </w:tr>
      <w:tr w:rsidR="00CC4F3E" w:rsidRPr="00CC4F3E" w14:paraId="0171C315" w14:textId="77777777">
        <w:trPr>
          <w:trHeight w:val="240"/>
        </w:trPr>
        <w:tc>
          <w:tcPr>
            <w:tcW w:w="3250" w:type="dxa"/>
            <w:tcBorders>
              <w:top w:val="nil"/>
              <w:left w:val="nil"/>
              <w:bottom w:val="nil"/>
              <w:right w:val="nil"/>
            </w:tcBorders>
            <w:shd w:val="clear" w:color="auto" w:fill="auto"/>
            <w:vAlign w:val="bottom"/>
          </w:tcPr>
          <w:p w14:paraId="06B728F5" w14:textId="77777777" w:rsidR="00CC4F3E" w:rsidRPr="00CC4F3E" w:rsidRDefault="00CC4F3E" w:rsidP="00CC4F3E">
            <w:pPr>
              <w:rPr>
                <w:rFonts w:ascii="Microsoft Sans Serif" w:hAnsi="Microsoft Sans Serif"/>
                <w:sz w:val="20"/>
                <w:szCs w:val="20"/>
              </w:rPr>
            </w:pPr>
            <w:r w:rsidRPr="00CC4F3E">
              <w:rPr>
                <w:rFonts w:ascii="Microsoft Sans Serif" w:hAnsi="Microsoft Sans Serif"/>
                <w:sz w:val="20"/>
                <w:szCs w:val="20"/>
              </w:rPr>
              <w:t>Large decrease</w:t>
            </w:r>
          </w:p>
        </w:tc>
        <w:tc>
          <w:tcPr>
            <w:tcW w:w="1251" w:type="dxa"/>
            <w:tcBorders>
              <w:top w:val="nil"/>
              <w:left w:val="nil"/>
              <w:bottom w:val="nil"/>
              <w:right w:val="nil"/>
            </w:tcBorders>
            <w:shd w:val="clear" w:color="auto" w:fill="auto"/>
            <w:noWrap/>
            <w:vAlign w:val="center"/>
          </w:tcPr>
          <w:p w14:paraId="3BAAFA46"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7.1%</w:t>
            </w:r>
          </w:p>
        </w:tc>
        <w:tc>
          <w:tcPr>
            <w:tcW w:w="1251" w:type="dxa"/>
            <w:tcBorders>
              <w:top w:val="nil"/>
              <w:left w:val="nil"/>
              <w:bottom w:val="nil"/>
              <w:right w:val="nil"/>
            </w:tcBorders>
            <w:shd w:val="clear" w:color="auto" w:fill="auto"/>
            <w:noWrap/>
            <w:vAlign w:val="center"/>
          </w:tcPr>
          <w:p w14:paraId="29501CE8" w14:textId="77777777" w:rsidR="00CC4F3E" w:rsidRPr="00CC4F3E" w:rsidRDefault="00CC4F3E" w:rsidP="00CC4F3E">
            <w:pPr>
              <w:jc w:val="center"/>
              <w:rPr>
                <w:rFonts w:ascii="Microsoft Sans Serif" w:hAnsi="Microsoft Sans Serif"/>
                <w:sz w:val="20"/>
                <w:szCs w:val="20"/>
              </w:rPr>
            </w:pPr>
            <w:r w:rsidRPr="00CC4F3E">
              <w:rPr>
                <w:rFonts w:ascii="Microsoft Sans Serif" w:hAnsi="Microsoft Sans Serif"/>
                <w:sz w:val="20"/>
                <w:szCs w:val="20"/>
              </w:rPr>
              <w:t>7</w:t>
            </w:r>
          </w:p>
        </w:tc>
      </w:tr>
    </w:tbl>
    <w:p w14:paraId="0455A518" w14:textId="77777777" w:rsidR="00FA559F" w:rsidRDefault="00CC4F3E" w:rsidP="00FA559F">
      <w:pPr>
        <w:jc w:val="both"/>
        <w:rPr>
          <w:rFonts w:ascii="Times New Roman" w:hAnsi="Times New Roman"/>
        </w:rPr>
      </w:pPr>
      <w:r w:rsidRPr="008B0A1E">
        <w:rPr>
          <w:rFonts w:ascii="Times New Roman" w:hAnsi="Times New Roman"/>
          <w:i/>
          <w:sz w:val="20"/>
        </w:rPr>
        <w:t>Source Q.</w:t>
      </w:r>
      <w:r>
        <w:rPr>
          <w:rFonts w:ascii="Times New Roman" w:hAnsi="Times New Roman"/>
          <w:i/>
          <w:sz w:val="20"/>
        </w:rPr>
        <w:t>15</w:t>
      </w:r>
    </w:p>
    <w:p w14:paraId="64AB407E" w14:textId="77777777" w:rsidR="00CC4F3E" w:rsidRDefault="00CC4F3E" w:rsidP="00FA559F">
      <w:pPr>
        <w:jc w:val="both"/>
        <w:rPr>
          <w:rFonts w:ascii="Times New Roman" w:hAnsi="Times New Roman"/>
        </w:rPr>
      </w:pPr>
    </w:p>
    <w:p w14:paraId="18D5FEA5" w14:textId="77777777" w:rsidR="0004080F" w:rsidRPr="002C0329" w:rsidRDefault="002C0329" w:rsidP="002C0329">
      <w:pPr>
        <w:spacing w:line="480" w:lineRule="auto"/>
        <w:jc w:val="both"/>
        <w:rPr>
          <w:rFonts w:ascii="Times New Roman" w:hAnsi="Times New Roman"/>
          <w:i/>
        </w:rPr>
      </w:pPr>
      <w:r w:rsidRPr="002C0329">
        <w:rPr>
          <w:rFonts w:ascii="Times New Roman" w:hAnsi="Times New Roman"/>
          <w:i/>
        </w:rPr>
        <w:t>Auditing Practices</w:t>
      </w:r>
      <w:r w:rsidR="00652E46">
        <w:rPr>
          <w:rFonts w:ascii="Times New Roman" w:hAnsi="Times New Roman"/>
          <w:i/>
        </w:rPr>
        <w:t>: Best Practices</w:t>
      </w:r>
    </w:p>
    <w:p w14:paraId="6496C480" w14:textId="2D92195D" w:rsidR="0064082E" w:rsidRPr="008B0A1E" w:rsidRDefault="002C0329" w:rsidP="00541E43">
      <w:pPr>
        <w:spacing w:line="480" w:lineRule="auto"/>
        <w:ind w:firstLine="720"/>
        <w:jc w:val="both"/>
        <w:rPr>
          <w:rFonts w:ascii="Times New Roman" w:hAnsi="Times New Roman"/>
        </w:rPr>
      </w:pPr>
      <w:r>
        <w:rPr>
          <w:rFonts w:ascii="Times New Roman" w:hAnsi="Times New Roman"/>
        </w:rPr>
        <w:t>Especially germane for our analysis</w:t>
      </w:r>
      <w:r w:rsidR="000553E8">
        <w:rPr>
          <w:rFonts w:ascii="Times New Roman" w:hAnsi="Times New Roman"/>
        </w:rPr>
        <w:t xml:space="preserve"> </w:t>
      </w:r>
      <w:r>
        <w:rPr>
          <w:rFonts w:ascii="Times New Roman" w:hAnsi="Times New Roman"/>
        </w:rPr>
        <w:t>were questions related to accounting and auditing practices follo</w:t>
      </w:r>
      <w:r w:rsidR="000553E8">
        <w:rPr>
          <w:rFonts w:ascii="Times New Roman" w:hAnsi="Times New Roman"/>
        </w:rPr>
        <w:t>w</w:t>
      </w:r>
      <w:r>
        <w:rPr>
          <w:rFonts w:ascii="Times New Roman" w:hAnsi="Times New Roman"/>
        </w:rPr>
        <w:t xml:space="preserve">ed in this area. </w:t>
      </w:r>
      <w:r w:rsidR="007C2393">
        <w:rPr>
          <w:rFonts w:ascii="Times New Roman" w:hAnsi="Times New Roman"/>
        </w:rPr>
        <w:t>F</w:t>
      </w:r>
      <w:r w:rsidR="0064082E" w:rsidRPr="008B0A1E">
        <w:rPr>
          <w:rFonts w:ascii="Times New Roman" w:hAnsi="Times New Roman"/>
        </w:rPr>
        <w:t xml:space="preserve">rom the response to </w:t>
      </w:r>
      <w:r>
        <w:rPr>
          <w:rFonts w:ascii="Times New Roman" w:hAnsi="Times New Roman"/>
        </w:rPr>
        <w:t>a battery of questions in this area</w:t>
      </w:r>
      <w:r w:rsidR="0064082E" w:rsidRPr="008B0A1E">
        <w:rPr>
          <w:rFonts w:ascii="Times New Roman" w:hAnsi="Times New Roman"/>
        </w:rPr>
        <w:t xml:space="preserve"> </w:t>
      </w:r>
      <w:r w:rsidR="007C2393">
        <w:rPr>
          <w:rFonts w:ascii="Times New Roman" w:hAnsi="Times New Roman"/>
        </w:rPr>
        <w:t xml:space="preserve">it is evident </w:t>
      </w:r>
      <w:r w:rsidR="0064082E" w:rsidRPr="008B0A1E">
        <w:rPr>
          <w:rFonts w:ascii="Times New Roman" w:hAnsi="Times New Roman"/>
        </w:rPr>
        <w:t xml:space="preserve">that the most departments (83.7%) have established guidance </w:t>
      </w:r>
      <w:r w:rsidR="000553E8">
        <w:rPr>
          <w:rFonts w:ascii="Times New Roman" w:hAnsi="Times New Roman"/>
        </w:rPr>
        <w:t xml:space="preserve">rules </w:t>
      </w:r>
      <w:r w:rsidR="0064082E" w:rsidRPr="008B0A1E">
        <w:rPr>
          <w:rFonts w:ascii="Times New Roman" w:hAnsi="Times New Roman"/>
        </w:rPr>
        <w:t xml:space="preserve">to engage consultants, which are written down routinely (85.7%) and </w:t>
      </w:r>
      <w:r>
        <w:rPr>
          <w:rFonts w:ascii="Times New Roman" w:hAnsi="Times New Roman"/>
        </w:rPr>
        <w:t xml:space="preserve">that contract opportunities are </w:t>
      </w:r>
      <w:r w:rsidR="0064082E" w:rsidRPr="008B0A1E">
        <w:rPr>
          <w:rFonts w:ascii="Times New Roman" w:hAnsi="Times New Roman"/>
        </w:rPr>
        <w:t>generally but not a</w:t>
      </w:r>
      <w:r>
        <w:rPr>
          <w:rFonts w:ascii="Times New Roman" w:hAnsi="Times New Roman"/>
        </w:rPr>
        <w:t>lways advertised widely.</w:t>
      </w:r>
      <w:r w:rsidR="0064082E" w:rsidRPr="008B0A1E">
        <w:rPr>
          <w:rFonts w:ascii="Times New Roman" w:hAnsi="Times New Roman"/>
        </w:rPr>
        <w:t xml:space="preserve"> </w:t>
      </w:r>
    </w:p>
    <w:p w14:paraId="06FD440F" w14:textId="77777777" w:rsidR="00953674" w:rsidRDefault="0064082E" w:rsidP="00953674">
      <w:pPr>
        <w:spacing w:line="480" w:lineRule="auto"/>
        <w:ind w:firstLine="720"/>
        <w:jc w:val="both"/>
        <w:rPr>
          <w:rFonts w:ascii="Times New Roman" w:hAnsi="Times New Roman"/>
        </w:rPr>
      </w:pPr>
      <w:r w:rsidRPr="008B0A1E">
        <w:rPr>
          <w:rFonts w:ascii="Times New Roman" w:hAnsi="Times New Roman"/>
        </w:rPr>
        <w:t>In over 60% of the departments we found that internal expertise needs to be considered in the first instance bef</w:t>
      </w:r>
      <w:r w:rsidR="002C0329">
        <w:rPr>
          <w:rFonts w:ascii="Times New Roman" w:hAnsi="Times New Roman"/>
        </w:rPr>
        <w:t>ore consultants are hired</w:t>
      </w:r>
      <w:r w:rsidRPr="008B0A1E">
        <w:rPr>
          <w:rFonts w:ascii="Times New Roman" w:hAnsi="Times New Roman"/>
        </w:rPr>
        <w:t xml:space="preserve"> and in 74.1% of cases departments require that a business case be written for</w:t>
      </w:r>
      <w:r w:rsidR="00953674">
        <w:rPr>
          <w:rFonts w:ascii="Times New Roman" w:hAnsi="Times New Roman"/>
        </w:rPr>
        <w:t xml:space="preserve"> consultancy engagements</w:t>
      </w:r>
      <w:r w:rsidR="002C0329">
        <w:rPr>
          <w:rFonts w:ascii="Times New Roman" w:hAnsi="Times New Roman"/>
        </w:rPr>
        <w:t>.</w:t>
      </w:r>
      <w:r w:rsidRPr="008B0A1E">
        <w:rPr>
          <w:rFonts w:ascii="Times New Roman" w:hAnsi="Times New Roman"/>
        </w:rPr>
        <w:t xml:space="preserve"> </w:t>
      </w:r>
      <w:r w:rsidR="00953674">
        <w:rPr>
          <w:rFonts w:ascii="Times New Roman" w:hAnsi="Times New Roman"/>
        </w:rPr>
        <w:t xml:space="preserve"> This suggests that most units are following standard best practices in the field in these area.</w:t>
      </w:r>
      <w:r w:rsidR="00EB49D7">
        <w:rPr>
          <w:rFonts w:ascii="Times New Roman" w:hAnsi="Times New Roman"/>
        </w:rPr>
        <w:t xml:space="preserve"> </w:t>
      </w:r>
      <w:r w:rsidR="00EB49D7" w:rsidRPr="008B0A1E">
        <w:rPr>
          <w:rFonts w:ascii="Times New Roman" w:hAnsi="Times New Roman"/>
        </w:rPr>
        <w:t xml:space="preserve">If we turn to the control of spending we find that managers are satisfied that the appropriate skills are used in purchasing of consulting services (the answer has an average rating of </w:t>
      </w:r>
      <w:r w:rsidR="00EB49D7">
        <w:rPr>
          <w:rFonts w:ascii="Times New Roman" w:hAnsi="Times New Roman"/>
        </w:rPr>
        <w:t>4.12/5)</w:t>
      </w:r>
      <w:r w:rsidR="00EB49D7" w:rsidRPr="008B0A1E">
        <w:rPr>
          <w:rFonts w:ascii="Times New Roman" w:hAnsi="Times New Roman"/>
        </w:rPr>
        <w:t xml:space="preserve"> and that procurement is generally very closely involve</w:t>
      </w:r>
      <w:r w:rsidR="00EB49D7">
        <w:rPr>
          <w:rFonts w:ascii="Times New Roman" w:hAnsi="Times New Roman"/>
        </w:rPr>
        <w:t xml:space="preserve">d in the process. </w:t>
      </w:r>
      <w:r w:rsidR="00EB49D7" w:rsidRPr="008B0A1E">
        <w:rPr>
          <w:rFonts w:ascii="Times New Roman" w:hAnsi="Times New Roman"/>
        </w:rPr>
        <w:t xml:space="preserve">Outputs are almost always </w:t>
      </w:r>
      <w:r w:rsidR="00EB49D7">
        <w:rPr>
          <w:rFonts w:ascii="Times New Roman" w:hAnsi="Times New Roman"/>
        </w:rPr>
        <w:t>specified in the contracts.</w:t>
      </w:r>
      <w:r w:rsidR="00EB49D7" w:rsidRPr="008B0A1E">
        <w:rPr>
          <w:rFonts w:ascii="Times New Roman" w:hAnsi="Times New Roman"/>
        </w:rPr>
        <w:t xml:space="preserve"> The costs billed by consultants are also t</w:t>
      </w:r>
      <w:r w:rsidR="00EB49D7">
        <w:rPr>
          <w:rFonts w:ascii="Times New Roman" w:hAnsi="Times New Roman"/>
        </w:rPr>
        <w:t>horoughly checked</w:t>
      </w:r>
      <w:r w:rsidR="00EB49D7" w:rsidRPr="008B0A1E">
        <w:rPr>
          <w:rFonts w:ascii="Times New Roman" w:hAnsi="Times New Roman"/>
        </w:rPr>
        <w:t xml:space="preserve"> and their billing is checked t</w:t>
      </w:r>
      <w:r w:rsidR="00EB49D7">
        <w:rPr>
          <w:rFonts w:ascii="Times New Roman" w:hAnsi="Times New Roman"/>
        </w:rPr>
        <w:t>o match their work</w:t>
      </w:r>
      <w:r w:rsidR="00EB49D7" w:rsidRPr="008B0A1E">
        <w:rPr>
          <w:rFonts w:ascii="Times New Roman" w:hAnsi="Times New Roman"/>
        </w:rPr>
        <w:t>.</w:t>
      </w:r>
      <w:r w:rsidR="00EB49D7">
        <w:rPr>
          <w:rFonts w:ascii="Times New Roman" w:hAnsi="Times New Roman"/>
        </w:rPr>
        <w:t xml:space="preserve"> </w:t>
      </w:r>
      <w:r w:rsidR="00EB49D7" w:rsidRPr="008B0A1E">
        <w:rPr>
          <w:rFonts w:ascii="Times New Roman" w:hAnsi="Times New Roman"/>
        </w:rPr>
        <w:t>Even when speed is of the essence good practice standards are maintained most of the times (This answer has</w:t>
      </w:r>
      <w:r w:rsidR="00EB49D7">
        <w:rPr>
          <w:rFonts w:ascii="Times New Roman" w:hAnsi="Times New Roman"/>
        </w:rPr>
        <w:t xml:space="preserve"> an average rating of 4.01/5).</w:t>
      </w:r>
    </w:p>
    <w:p w14:paraId="3D28B9F5" w14:textId="58E3C24D" w:rsidR="00652E46" w:rsidRDefault="00652E46" w:rsidP="00652E46">
      <w:pPr>
        <w:spacing w:line="480" w:lineRule="auto"/>
        <w:ind w:firstLine="720"/>
        <w:jc w:val="both"/>
        <w:rPr>
          <w:rFonts w:ascii="Times New Roman" w:hAnsi="Times New Roman"/>
        </w:rPr>
      </w:pPr>
      <w:r>
        <w:rPr>
          <w:rFonts w:ascii="Times New Roman" w:hAnsi="Times New Roman"/>
        </w:rPr>
        <w:t>Th</w:t>
      </w:r>
      <w:r w:rsidRPr="008B0A1E">
        <w:rPr>
          <w:rFonts w:ascii="Times New Roman" w:hAnsi="Times New Roman"/>
        </w:rPr>
        <w:t>ere is always some kind of variation in the consultancy engagements from the</w:t>
      </w:r>
      <w:r>
        <w:rPr>
          <w:rFonts w:ascii="Times New Roman" w:hAnsi="Times New Roman"/>
        </w:rPr>
        <w:t xml:space="preserve"> origina</w:t>
      </w:r>
      <w:r w:rsidR="008150F7">
        <w:rPr>
          <w:rFonts w:ascii="Times New Roman" w:hAnsi="Times New Roman"/>
        </w:rPr>
        <w:t xml:space="preserve">l terms of the contract (Table </w:t>
      </w:r>
      <w:r w:rsidR="0009664C">
        <w:rPr>
          <w:rFonts w:ascii="Times New Roman" w:hAnsi="Times New Roman"/>
        </w:rPr>
        <w:t>7</w:t>
      </w:r>
      <w:r>
        <w:rPr>
          <w:rFonts w:ascii="Times New Roman" w:hAnsi="Times New Roman"/>
        </w:rPr>
        <w:t>)</w:t>
      </w:r>
      <w:r w:rsidRPr="008B0A1E">
        <w:rPr>
          <w:rFonts w:ascii="Times New Roman" w:hAnsi="Times New Roman"/>
        </w:rPr>
        <w:t xml:space="preserve"> This is in fact a very diffused process and it may be interesting to try and assess why this happens. In general two separate types of explanation may be brought forward: the first is that the process of consulting ‘naturally’ is undefined and that as more demands emerge from the department or the topic at hand the contract needs to be amended. Another explanation is that administrators may in fact engage external consultants for a smaller task with the intention of vetting them and successively extend the consultants’ activity if they prove adequate. Of course it is possible (and even likely) that both of these dynamics </w:t>
      </w:r>
      <w:r>
        <w:rPr>
          <w:rFonts w:ascii="Times New Roman" w:hAnsi="Times New Roman"/>
        </w:rPr>
        <w:t>may be present at the same time.</w:t>
      </w:r>
    </w:p>
    <w:p w14:paraId="5E72C2EB" w14:textId="77777777" w:rsidR="008150F7" w:rsidRPr="008B0A1E" w:rsidRDefault="008150F7" w:rsidP="00652E46">
      <w:pPr>
        <w:spacing w:line="480" w:lineRule="auto"/>
        <w:ind w:firstLine="720"/>
        <w:jc w:val="both"/>
        <w:rPr>
          <w:rFonts w:ascii="Times New Roman" w:hAnsi="Times New Roman"/>
        </w:rPr>
      </w:pPr>
    </w:p>
    <w:p w14:paraId="73ACA62E" w14:textId="77777777" w:rsidR="00652E46" w:rsidRPr="008B0A1E" w:rsidRDefault="00652E46" w:rsidP="00652E46">
      <w:pPr>
        <w:jc w:val="both"/>
        <w:rPr>
          <w:rFonts w:ascii="Times New Roman" w:hAnsi="Times New Roman"/>
        </w:rPr>
      </w:pPr>
    </w:p>
    <w:p w14:paraId="417039BB" w14:textId="41821DD4" w:rsidR="00652E46" w:rsidRPr="008B0A1E" w:rsidRDefault="008150F7" w:rsidP="00652E46">
      <w:pPr>
        <w:jc w:val="both"/>
        <w:rPr>
          <w:rFonts w:ascii="Times New Roman" w:hAnsi="Times New Roman"/>
          <w:i/>
        </w:rPr>
      </w:pPr>
      <w:r>
        <w:rPr>
          <w:rFonts w:ascii="Times New Roman" w:hAnsi="Times New Roman"/>
          <w:i/>
        </w:rPr>
        <w:t xml:space="preserve">Table </w:t>
      </w:r>
      <w:r w:rsidR="0009664C">
        <w:rPr>
          <w:rFonts w:ascii="Times New Roman" w:hAnsi="Times New Roman"/>
          <w:i/>
        </w:rPr>
        <w:t xml:space="preserve">7 </w:t>
      </w:r>
      <w:r w:rsidR="00652E46" w:rsidRPr="008B0A1E">
        <w:rPr>
          <w:rFonts w:ascii="Times New Roman" w:hAnsi="Times New Roman"/>
          <w:i/>
        </w:rPr>
        <w:t>Frequency of Changes in Consultancy Contracts</w:t>
      </w:r>
    </w:p>
    <w:tbl>
      <w:tblPr>
        <w:tblW w:w="8200" w:type="dxa"/>
        <w:tblInd w:w="92" w:type="dxa"/>
        <w:tblLook w:val="0000" w:firstRow="0" w:lastRow="0" w:firstColumn="0" w:lastColumn="0" w:noHBand="0" w:noVBand="0"/>
      </w:tblPr>
      <w:tblGrid>
        <w:gridCol w:w="1640"/>
        <w:gridCol w:w="1640"/>
        <w:gridCol w:w="1640"/>
        <w:gridCol w:w="1640"/>
        <w:gridCol w:w="1640"/>
      </w:tblGrid>
      <w:tr w:rsidR="00652E46" w:rsidRPr="008B0A1E" w14:paraId="75E4F4F6" w14:textId="77777777">
        <w:trPr>
          <w:trHeight w:val="186"/>
        </w:trPr>
        <w:tc>
          <w:tcPr>
            <w:tcW w:w="1640" w:type="dxa"/>
            <w:tcBorders>
              <w:top w:val="nil"/>
              <w:left w:val="nil"/>
              <w:bottom w:val="nil"/>
              <w:right w:val="nil"/>
            </w:tcBorders>
            <w:shd w:val="clear" w:color="auto" w:fill="DEE9F7"/>
            <w:vAlign w:val="center"/>
          </w:tcPr>
          <w:p w14:paraId="0963A111"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Always</w:t>
            </w:r>
          </w:p>
        </w:tc>
        <w:tc>
          <w:tcPr>
            <w:tcW w:w="1640" w:type="dxa"/>
            <w:tcBorders>
              <w:top w:val="nil"/>
              <w:left w:val="nil"/>
              <w:bottom w:val="nil"/>
              <w:right w:val="nil"/>
            </w:tcBorders>
            <w:shd w:val="clear" w:color="auto" w:fill="DEE9F7"/>
            <w:vAlign w:val="center"/>
          </w:tcPr>
          <w:p w14:paraId="4E26AC64"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Frequently</w:t>
            </w:r>
          </w:p>
        </w:tc>
        <w:tc>
          <w:tcPr>
            <w:tcW w:w="1640" w:type="dxa"/>
            <w:tcBorders>
              <w:top w:val="nil"/>
              <w:left w:val="nil"/>
              <w:bottom w:val="nil"/>
              <w:right w:val="nil"/>
            </w:tcBorders>
            <w:shd w:val="clear" w:color="auto" w:fill="DEE9F7"/>
            <w:vAlign w:val="center"/>
          </w:tcPr>
          <w:p w14:paraId="3CB06067"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Sometimes</w:t>
            </w:r>
          </w:p>
        </w:tc>
        <w:tc>
          <w:tcPr>
            <w:tcW w:w="1640" w:type="dxa"/>
            <w:tcBorders>
              <w:top w:val="nil"/>
              <w:left w:val="nil"/>
              <w:bottom w:val="nil"/>
              <w:right w:val="nil"/>
            </w:tcBorders>
            <w:shd w:val="clear" w:color="auto" w:fill="DEE9F7"/>
            <w:vAlign w:val="center"/>
          </w:tcPr>
          <w:p w14:paraId="556F34B8"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Rarely</w:t>
            </w:r>
          </w:p>
        </w:tc>
        <w:tc>
          <w:tcPr>
            <w:tcW w:w="1640" w:type="dxa"/>
            <w:tcBorders>
              <w:top w:val="nil"/>
              <w:left w:val="nil"/>
              <w:bottom w:val="nil"/>
              <w:right w:val="nil"/>
            </w:tcBorders>
            <w:shd w:val="clear" w:color="auto" w:fill="DEE9F7"/>
            <w:vAlign w:val="center"/>
          </w:tcPr>
          <w:p w14:paraId="264666DD"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Never</w:t>
            </w:r>
          </w:p>
        </w:tc>
      </w:tr>
      <w:tr w:rsidR="00652E46" w:rsidRPr="008B0A1E" w14:paraId="6327E592" w14:textId="77777777">
        <w:trPr>
          <w:trHeight w:val="240"/>
        </w:trPr>
        <w:tc>
          <w:tcPr>
            <w:tcW w:w="1640" w:type="dxa"/>
            <w:tcBorders>
              <w:top w:val="nil"/>
              <w:left w:val="nil"/>
              <w:bottom w:val="nil"/>
              <w:right w:val="nil"/>
            </w:tcBorders>
            <w:shd w:val="clear" w:color="auto" w:fill="auto"/>
            <w:noWrap/>
            <w:vAlign w:val="bottom"/>
          </w:tcPr>
          <w:p w14:paraId="6B9688E9"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0.00%</w:t>
            </w:r>
          </w:p>
        </w:tc>
        <w:tc>
          <w:tcPr>
            <w:tcW w:w="1640" w:type="dxa"/>
            <w:tcBorders>
              <w:top w:val="nil"/>
              <w:left w:val="nil"/>
              <w:bottom w:val="nil"/>
              <w:right w:val="nil"/>
            </w:tcBorders>
            <w:shd w:val="clear" w:color="auto" w:fill="auto"/>
            <w:noWrap/>
            <w:vAlign w:val="bottom"/>
          </w:tcPr>
          <w:p w14:paraId="090F431E"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14.63%</w:t>
            </w:r>
          </w:p>
        </w:tc>
        <w:tc>
          <w:tcPr>
            <w:tcW w:w="1640" w:type="dxa"/>
            <w:tcBorders>
              <w:top w:val="nil"/>
              <w:left w:val="nil"/>
              <w:bottom w:val="nil"/>
              <w:right w:val="nil"/>
            </w:tcBorders>
            <w:shd w:val="clear" w:color="auto" w:fill="auto"/>
            <w:noWrap/>
            <w:vAlign w:val="bottom"/>
          </w:tcPr>
          <w:p w14:paraId="298E7BBD"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63.41%</w:t>
            </w:r>
          </w:p>
        </w:tc>
        <w:tc>
          <w:tcPr>
            <w:tcW w:w="1640" w:type="dxa"/>
            <w:tcBorders>
              <w:top w:val="nil"/>
              <w:left w:val="nil"/>
              <w:bottom w:val="nil"/>
              <w:right w:val="nil"/>
            </w:tcBorders>
            <w:shd w:val="clear" w:color="auto" w:fill="auto"/>
            <w:noWrap/>
            <w:vAlign w:val="bottom"/>
          </w:tcPr>
          <w:p w14:paraId="5A2DD115"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21.95%</w:t>
            </w:r>
          </w:p>
        </w:tc>
        <w:tc>
          <w:tcPr>
            <w:tcW w:w="1640" w:type="dxa"/>
            <w:tcBorders>
              <w:top w:val="nil"/>
              <w:left w:val="nil"/>
              <w:bottom w:val="nil"/>
              <w:right w:val="nil"/>
            </w:tcBorders>
            <w:shd w:val="clear" w:color="auto" w:fill="auto"/>
            <w:noWrap/>
            <w:vAlign w:val="bottom"/>
          </w:tcPr>
          <w:p w14:paraId="2ABB0126"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0.00%</w:t>
            </w:r>
          </w:p>
        </w:tc>
      </w:tr>
    </w:tbl>
    <w:p w14:paraId="0C9EF8EB" w14:textId="77777777" w:rsidR="00652E46" w:rsidRPr="008B0A1E" w:rsidRDefault="00652E46" w:rsidP="00652E46">
      <w:pPr>
        <w:jc w:val="both"/>
        <w:rPr>
          <w:rFonts w:ascii="Times New Roman" w:hAnsi="Times New Roman"/>
          <w:i/>
          <w:sz w:val="20"/>
        </w:rPr>
      </w:pPr>
      <w:r w:rsidRPr="008B0A1E">
        <w:rPr>
          <w:rFonts w:ascii="Times New Roman" w:hAnsi="Times New Roman"/>
          <w:i/>
          <w:sz w:val="20"/>
        </w:rPr>
        <w:t>Source Q.36</w:t>
      </w:r>
    </w:p>
    <w:p w14:paraId="49C011E8" w14:textId="77777777" w:rsidR="00652E46" w:rsidRDefault="00652E46" w:rsidP="00652E46">
      <w:pPr>
        <w:spacing w:line="480" w:lineRule="auto"/>
        <w:jc w:val="both"/>
        <w:rPr>
          <w:rFonts w:ascii="Times New Roman" w:hAnsi="Times New Roman"/>
        </w:rPr>
      </w:pPr>
    </w:p>
    <w:p w14:paraId="687BD682" w14:textId="77777777" w:rsidR="008150F7" w:rsidRDefault="008150F7" w:rsidP="00652E46">
      <w:pPr>
        <w:spacing w:line="480" w:lineRule="auto"/>
        <w:jc w:val="both"/>
        <w:rPr>
          <w:rFonts w:ascii="Times New Roman" w:hAnsi="Times New Roman"/>
        </w:rPr>
      </w:pPr>
    </w:p>
    <w:p w14:paraId="71E12246" w14:textId="37BF2815" w:rsidR="00652E46" w:rsidRDefault="00652E46" w:rsidP="00652E46">
      <w:pPr>
        <w:spacing w:line="480" w:lineRule="auto"/>
        <w:ind w:firstLine="720"/>
        <w:jc w:val="both"/>
        <w:rPr>
          <w:rFonts w:ascii="Times New Roman" w:hAnsi="Times New Roman"/>
        </w:rPr>
      </w:pPr>
      <w:r w:rsidRPr="008B0A1E">
        <w:rPr>
          <w:rFonts w:ascii="Times New Roman" w:hAnsi="Times New Roman"/>
        </w:rPr>
        <w:t>Chang</w:t>
      </w:r>
      <w:r>
        <w:rPr>
          <w:rFonts w:ascii="Times New Roman" w:hAnsi="Times New Roman"/>
        </w:rPr>
        <w:t>es are routinely tracked</w:t>
      </w:r>
      <w:r w:rsidRPr="008B0A1E">
        <w:rPr>
          <w:rFonts w:ascii="Times New Roman" w:hAnsi="Times New Roman"/>
        </w:rPr>
        <w:t xml:space="preserve"> and we find that just over one quarter of these are seen as</w:t>
      </w:r>
      <w:r>
        <w:rPr>
          <w:rFonts w:ascii="Times New Roman" w:hAnsi="Times New Roman"/>
        </w:rPr>
        <w:t xml:space="preserve"> signifi</w:t>
      </w:r>
      <w:r w:rsidR="008150F7">
        <w:rPr>
          <w:rFonts w:ascii="Times New Roman" w:hAnsi="Times New Roman"/>
        </w:rPr>
        <w:t xml:space="preserve">cant by the respondents (Table </w:t>
      </w:r>
      <w:r w:rsidR="0009664C">
        <w:rPr>
          <w:rFonts w:ascii="Times New Roman" w:hAnsi="Times New Roman"/>
        </w:rPr>
        <w:t>8</w:t>
      </w:r>
      <w:r>
        <w:rPr>
          <w:rFonts w:ascii="Times New Roman" w:hAnsi="Times New Roman"/>
        </w:rPr>
        <w:t>).</w:t>
      </w:r>
    </w:p>
    <w:p w14:paraId="64ECCA98" w14:textId="77777777" w:rsidR="008150F7" w:rsidRPr="008B0A1E" w:rsidRDefault="008150F7" w:rsidP="00652E46">
      <w:pPr>
        <w:spacing w:line="480" w:lineRule="auto"/>
        <w:ind w:firstLine="720"/>
        <w:jc w:val="both"/>
        <w:rPr>
          <w:rFonts w:ascii="Times New Roman" w:hAnsi="Times New Roman"/>
        </w:rPr>
      </w:pPr>
    </w:p>
    <w:p w14:paraId="6B250A19" w14:textId="77777777" w:rsidR="00652E46" w:rsidRPr="008B0A1E" w:rsidRDefault="00652E46" w:rsidP="00652E46">
      <w:pPr>
        <w:jc w:val="both"/>
        <w:rPr>
          <w:rFonts w:ascii="Times New Roman" w:hAnsi="Times New Roman"/>
        </w:rPr>
      </w:pPr>
    </w:p>
    <w:p w14:paraId="07015BF8" w14:textId="3B716DD8" w:rsidR="00652E46" w:rsidRPr="008B0A1E" w:rsidRDefault="008150F7" w:rsidP="00652E46">
      <w:pPr>
        <w:jc w:val="both"/>
        <w:rPr>
          <w:rFonts w:ascii="Times New Roman" w:hAnsi="Times New Roman"/>
        </w:rPr>
      </w:pPr>
      <w:r>
        <w:rPr>
          <w:rFonts w:ascii="Times New Roman" w:hAnsi="Times New Roman"/>
          <w:i/>
        </w:rPr>
        <w:t xml:space="preserve">Table </w:t>
      </w:r>
      <w:r w:rsidR="0009664C">
        <w:rPr>
          <w:rFonts w:ascii="Times New Roman" w:hAnsi="Times New Roman"/>
          <w:i/>
        </w:rPr>
        <w:t>8</w:t>
      </w:r>
      <w:r w:rsidR="00652E46">
        <w:rPr>
          <w:rFonts w:ascii="Times New Roman" w:hAnsi="Times New Roman"/>
          <w:i/>
        </w:rPr>
        <w:t xml:space="preserve"> </w:t>
      </w:r>
      <w:r w:rsidR="00652E46" w:rsidRPr="008B0A1E">
        <w:rPr>
          <w:rFonts w:ascii="Times New Roman" w:hAnsi="Times New Roman"/>
          <w:i/>
        </w:rPr>
        <w:t>Size of change in Consultancy Contracts</w:t>
      </w:r>
    </w:p>
    <w:tbl>
      <w:tblPr>
        <w:tblW w:w="7960" w:type="dxa"/>
        <w:tblInd w:w="92" w:type="dxa"/>
        <w:tblLook w:val="0000" w:firstRow="0" w:lastRow="0" w:firstColumn="0" w:lastColumn="0" w:noHBand="0" w:noVBand="0"/>
      </w:tblPr>
      <w:tblGrid>
        <w:gridCol w:w="1293"/>
        <w:gridCol w:w="1756"/>
        <w:gridCol w:w="1635"/>
        <w:gridCol w:w="1637"/>
        <w:gridCol w:w="1639"/>
      </w:tblGrid>
      <w:tr w:rsidR="00652E46" w:rsidRPr="008B0A1E" w14:paraId="0E2C8D69" w14:textId="77777777">
        <w:trPr>
          <w:trHeight w:val="480"/>
        </w:trPr>
        <w:tc>
          <w:tcPr>
            <w:tcW w:w="1293" w:type="dxa"/>
            <w:tcBorders>
              <w:top w:val="nil"/>
              <w:left w:val="nil"/>
              <w:right w:val="nil"/>
            </w:tcBorders>
            <w:shd w:val="clear" w:color="auto" w:fill="DEE9F7"/>
            <w:vAlign w:val="center"/>
          </w:tcPr>
          <w:p w14:paraId="5A31E85F"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Very significant</w:t>
            </w:r>
          </w:p>
        </w:tc>
        <w:tc>
          <w:tcPr>
            <w:tcW w:w="1756" w:type="dxa"/>
            <w:tcBorders>
              <w:top w:val="nil"/>
              <w:left w:val="nil"/>
              <w:right w:val="nil"/>
            </w:tcBorders>
            <w:shd w:val="clear" w:color="auto" w:fill="DEE9F7"/>
            <w:vAlign w:val="center"/>
          </w:tcPr>
          <w:p w14:paraId="47AC75F4"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Significant</w:t>
            </w:r>
          </w:p>
        </w:tc>
        <w:tc>
          <w:tcPr>
            <w:tcW w:w="1635" w:type="dxa"/>
            <w:tcBorders>
              <w:top w:val="nil"/>
              <w:left w:val="nil"/>
              <w:right w:val="nil"/>
            </w:tcBorders>
            <w:shd w:val="clear" w:color="auto" w:fill="DEE9F7"/>
            <w:vAlign w:val="center"/>
          </w:tcPr>
          <w:p w14:paraId="3E35EBA1"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Neutral</w:t>
            </w:r>
          </w:p>
        </w:tc>
        <w:tc>
          <w:tcPr>
            <w:tcW w:w="1637" w:type="dxa"/>
            <w:tcBorders>
              <w:top w:val="nil"/>
              <w:left w:val="nil"/>
              <w:right w:val="nil"/>
            </w:tcBorders>
            <w:shd w:val="clear" w:color="auto" w:fill="DEE9F7"/>
            <w:vAlign w:val="center"/>
          </w:tcPr>
          <w:p w14:paraId="359D5F19"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Not very significant</w:t>
            </w:r>
          </w:p>
        </w:tc>
        <w:tc>
          <w:tcPr>
            <w:tcW w:w="1639" w:type="dxa"/>
            <w:tcBorders>
              <w:top w:val="nil"/>
              <w:left w:val="nil"/>
              <w:right w:val="nil"/>
            </w:tcBorders>
            <w:shd w:val="clear" w:color="auto" w:fill="DEE9F7"/>
            <w:vAlign w:val="center"/>
          </w:tcPr>
          <w:p w14:paraId="7156133A" w14:textId="77777777" w:rsidR="00652E46" w:rsidRPr="008B0A1E" w:rsidRDefault="00652E46" w:rsidP="00652E46">
            <w:pPr>
              <w:jc w:val="center"/>
              <w:rPr>
                <w:rFonts w:ascii="Times New Roman" w:hAnsi="Times New Roman"/>
                <w:b/>
                <w:bCs/>
                <w:color w:val="000000"/>
                <w:sz w:val="20"/>
                <w:szCs w:val="20"/>
              </w:rPr>
            </w:pPr>
            <w:r w:rsidRPr="008B0A1E">
              <w:rPr>
                <w:rFonts w:ascii="Times New Roman" w:hAnsi="Times New Roman"/>
                <w:b/>
                <w:bCs/>
                <w:color w:val="000000"/>
                <w:sz w:val="20"/>
                <w:szCs w:val="20"/>
              </w:rPr>
              <w:t>Insignificant</w:t>
            </w:r>
          </w:p>
        </w:tc>
      </w:tr>
      <w:tr w:rsidR="00652E46" w:rsidRPr="008B0A1E" w14:paraId="08507680" w14:textId="77777777">
        <w:trPr>
          <w:trHeight w:val="240"/>
        </w:trPr>
        <w:tc>
          <w:tcPr>
            <w:tcW w:w="1293" w:type="dxa"/>
            <w:tcBorders>
              <w:top w:val="nil"/>
              <w:left w:val="nil"/>
              <w:bottom w:val="nil"/>
              <w:right w:val="nil"/>
            </w:tcBorders>
            <w:shd w:val="clear" w:color="auto" w:fill="auto"/>
            <w:noWrap/>
            <w:vAlign w:val="center"/>
          </w:tcPr>
          <w:p w14:paraId="5E39BA01"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0.00%</w:t>
            </w:r>
          </w:p>
        </w:tc>
        <w:tc>
          <w:tcPr>
            <w:tcW w:w="1756" w:type="dxa"/>
            <w:tcBorders>
              <w:top w:val="nil"/>
              <w:left w:val="nil"/>
              <w:bottom w:val="nil"/>
              <w:right w:val="nil"/>
            </w:tcBorders>
            <w:shd w:val="clear" w:color="auto" w:fill="auto"/>
            <w:noWrap/>
            <w:vAlign w:val="center"/>
          </w:tcPr>
          <w:p w14:paraId="67A18F6E"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27.16%</w:t>
            </w:r>
          </w:p>
        </w:tc>
        <w:tc>
          <w:tcPr>
            <w:tcW w:w="1635" w:type="dxa"/>
            <w:tcBorders>
              <w:top w:val="nil"/>
              <w:left w:val="nil"/>
              <w:bottom w:val="nil"/>
              <w:right w:val="nil"/>
            </w:tcBorders>
            <w:shd w:val="clear" w:color="auto" w:fill="auto"/>
            <w:noWrap/>
            <w:vAlign w:val="center"/>
          </w:tcPr>
          <w:p w14:paraId="3C084B59"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49.38%</w:t>
            </w:r>
          </w:p>
        </w:tc>
        <w:tc>
          <w:tcPr>
            <w:tcW w:w="1637" w:type="dxa"/>
            <w:tcBorders>
              <w:top w:val="nil"/>
              <w:left w:val="nil"/>
              <w:bottom w:val="nil"/>
              <w:right w:val="nil"/>
            </w:tcBorders>
            <w:shd w:val="clear" w:color="auto" w:fill="auto"/>
            <w:noWrap/>
            <w:vAlign w:val="center"/>
          </w:tcPr>
          <w:p w14:paraId="253F6DC0"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23.46%</w:t>
            </w:r>
          </w:p>
        </w:tc>
        <w:tc>
          <w:tcPr>
            <w:tcW w:w="1639" w:type="dxa"/>
            <w:tcBorders>
              <w:top w:val="nil"/>
              <w:left w:val="nil"/>
              <w:bottom w:val="nil"/>
              <w:right w:val="nil"/>
            </w:tcBorders>
            <w:shd w:val="clear" w:color="auto" w:fill="auto"/>
            <w:noWrap/>
            <w:vAlign w:val="center"/>
          </w:tcPr>
          <w:p w14:paraId="0D621F1E" w14:textId="77777777" w:rsidR="00652E46" w:rsidRPr="008B0A1E" w:rsidRDefault="00652E46" w:rsidP="00652E46">
            <w:pPr>
              <w:jc w:val="center"/>
              <w:rPr>
                <w:rFonts w:ascii="Times New Roman" w:hAnsi="Times New Roman"/>
                <w:sz w:val="20"/>
                <w:szCs w:val="20"/>
              </w:rPr>
            </w:pPr>
            <w:r w:rsidRPr="008B0A1E">
              <w:rPr>
                <w:rFonts w:ascii="Times New Roman" w:hAnsi="Times New Roman"/>
                <w:sz w:val="20"/>
                <w:szCs w:val="20"/>
              </w:rPr>
              <w:t>0.00%</w:t>
            </w:r>
          </w:p>
        </w:tc>
      </w:tr>
    </w:tbl>
    <w:p w14:paraId="11DED39C" w14:textId="77777777" w:rsidR="00652E46" w:rsidRPr="008B0A1E" w:rsidRDefault="00652E46" w:rsidP="00652E46">
      <w:pPr>
        <w:jc w:val="both"/>
        <w:rPr>
          <w:rFonts w:ascii="Times New Roman" w:hAnsi="Times New Roman"/>
          <w:i/>
          <w:sz w:val="20"/>
        </w:rPr>
      </w:pPr>
      <w:r w:rsidRPr="008B0A1E">
        <w:rPr>
          <w:rFonts w:ascii="Times New Roman" w:hAnsi="Times New Roman"/>
          <w:i/>
          <w:sz w:val="20"/>
        </w:rPr>
        <w:t>Source Q.38</w:t>
      </w:r>
    </w:p>
    <w:p w14:paraId="2C68C99C" w14:textId="77777777" w:rsidR="00652E46" w:rsidRDefault="00652E46" w:rsidP="00953674">
      <w:pPr>
        <w:spacing w:line="480" w:lineRule="auto"/>
        <w:ind w:firstLine="720"/>
        <w:jc w:val="both"/>
        <w:rPr>
          <w:rFonts w:ascii="Times New Roman" w:hAnsi="Times New Roman"/>
        </w:rPr>
      </w:pPr>
    </w:p>
    <w:p w14:paraId="4B0B3984" w14:textId="77777777" w:rsidR="00652E46" w:rsidRDefault="00652E46" w:rsidP="00652E46">
      <w:pPr>
        <w:ind w:firstLine="720"/>
        <w:jc w:val="both"/>
        <w:rPr>
          <w:rFonts w:ascii="Times New Roman" w:hAnsi="Times New Roman"/>
        </w:rPr>
      </w:pPr>
    </w:p>
    <w:p w14:paraId="08AA609D" w14:textId="77777777" w:rsidR="00652E46" w:rsidRPr="00652E46" w:rsidRDefault="00652E46" w:rsidP="00652E46">
      <w:pPr>
        <w:spacing w:line="480" w:lineRule="auto"/>
        <w:jc w:val="both"/>
        <w:rPr>
          <w:rFonts w:ascii="Times New Roman" w:hAnsi="Times New Roman"/>
          <w:i/>
        </w:rPr>
      </w:pPr>
      <w:r w:rsidRPr="00652E46">
        <w:rPr>
          <w:rFonts w:ascii="Times New Roman" w:hAnsi="Times New Roman"/>
          <w:i/>
        </w:rPr>
        <w:t xml:space="preserve">Contracting Practices: Lack of </w:t>
      </w:r>
      <w:r>
        <w:rPr>
          <w:rFonts w:ascii="Times New Roman" w:hAnsi="Times New Roman"/>
          <w:i/>
        </w:rPr>
        <w:t xml:space="preserve">Intra and </w:t>
      </w:r>
      <w:r w:rsidRPr="00652E46">
        <w:rPr>
          <w:rFonts w:ascii="Times New Roman" w:hAnsi="Times New Roman"/>
          <w:i/>
        </w:rPr>
        <w:t>Inter-Departmental Learning</w:t>
      </w:r>
    </w:p>
    <w:p w14:paraId="0B490A7B" w14:textId="6B720B7C" w:rsidR="00953674" w:rsidRDefault="00652E46" w:rsidP="00EB49D7">
      <w:pPr>
        <w:spacing w:line="480" w:lineRule="auto"/>
        <w:ind w:firstLine="720"/>
        <w:jc w:val="both"/>
        <w:rPr>
          <w:rFonts w:ascii="Times New Roman" w:hAnsi="Times New Roman"/>
        </w:rPr>
      </w:pPr>
      <w:r>
        <w:rPr>
          <w:rFonts w:ascii="Times New Roman" w:hAnsi="Times New Roman"/>
        </w:rPr>
        <w:t>O</w:t>
      </w:r>
      <w:r w:rsidR="0064082E" w:rsidRPr="008B0A1E">
        <w:rPr>
          <w:rFonts w:ascii="Times New Roman" w:hAnsi="Times New Roman"/>
        </w:rPr>
        <w:t>ver a third of respondents (35.4%) believe that the procedures meant to first consider internal resources ma</w:t>
      </w:r>
      <w:r w:rsidR="002C0329">
        <w:rPr>
          <w:rFonts w:ascii="Times New Roman" w:hAnsi="Times New Roman"/>
        </w:rPr>
        <w:t>y not always be followed</w:t>
      </w:r>
      <w:r w:rsidR="007C2393">
        <w:rPr>
          <w:rFonts w:ascii="Times New Roman" w:hAnsi="Times New Roman"/>
        </w:rPr>
        <w:t>.</w:t>
      </w:r>
      <w:r w:rsidR="00953674">
        <w:rPr>
          <w:rFonts w:ascii="Times New Roman" w:hAnsi="Times New Roman"/>
        </w:rPr>
        <w:t xml:space="preserve"> And i</w:t>
      </w:r>
      <w:r w:rsidR="0064082E" w:rsidRPr="008B0A1E">
        <w:rPr>
          <w:rFonts w:ascii="Times New Roman" w:hAnsi="Times New Roman"/>
        </w:rPr>
        <w:t>t is also the case that</w:t>
      </w:r>
      <w:r w:rsidR="00953674">
        <w:rPr>
          <w:rFonts w:ascii="Times New Roman" w:hAnsi="Times New Roman"/>
        </w:rPr>
        <w:t xml:space="preserve"> only 27% of Departments will </w:t>
      </w:r>
      <w:r w:rsidR="0064082E" w:rsidRPr="008B0A1E">
        <w:rPr>
          <w:rFonts w:ascii="Times New Roman" w:hAnsi="Times New Roman"/>
        </w:rPr>
        <w:t>consider whether other administrative units have the required skills</w:t>
      </w:r>
      <w:r w:rsidR="008150F7">
        <w:rPr>
          <w:rFonts w:ascii="Times New Roman" w:hAnsi="Times New Roman"/>
        </w:rPr>
        <w:t xml:space="preserve"> they need  (Chart </w:t>
      </w:r>
      <w:r w:rsidR="0009664C">
        <w:rPr>
          <w:rFonts w:ascii="Times New Roman" w:hAnsi="Times New Roman"/>
        </w:rPr>
        <w:t>8 and 9)</w:t>
      </w:r>
      <w:r w:rsidR="00953674">
        <w:rPr>
          <w:rFonts w:ascii="Times New Roman" w:hAnsi="Times New Roman"/>
        </w:rPr>
        <w:t>.</w:t>
      </w:r>
    </w:p>
    <w:p w14:paraId="677F0CC4" w14:textId="77777777" w:rsidR="008150F7" w:rsidRPr="008B0A1E" w:rsidRDefault="008150F7" w:rsidP="00EB49D7">
      <w:pPr>
        <w:spacing w:line="480" w:lineRule="auto"/>
        <w:ind w:firstLine="720"/>
        <w:jc w:val="both"/>
        <w:rPr>
          <w:rFonts w:ascii="Times New Roman" w:hAnsi="Times New Roman"/>
        </w:rPr>
      </w:pPr>
    </w:p>
    <w:p w14:paraId="10199FAF" w14:textId="112F7B9A" w:rsidR="0064082E" w:rsidRPr="008B0A1E" w:rsidRDefault="008150F7" w:rsidP="001F7FDF">
      <w:pPr>
        <w:jc w:val="both"/>
        <w:rPr>
          <w:rFonts w:ascii="Times New Roman" w:hAnsi="Times New Roman"/>
          <w:i/>
        </w:rPr>
      </w:pPr>
      <w:r>
        <w:rPr>
          <w:rFonts w:ascii="Times New Roman" w:hAnsi="Times New Roman"/>
          <w:i/>
        </w:rPr>
        <w:t xml:space="preserve">Chart </w:t>
      </w:r>
      <w:r w:rsidR="0009664C">
        <w:rPr>
          <w:rFonts w:ascii="Times New Roman" w:hAnsi="Times New Roman"/>
          <w:i/>
        </w:rPr>
        <w:t>8</w:t>
      </w:r>
      <w:r w:rsidR="0064082E" w:rsidRPr="008B0A1E">
        <w:rPr>
          <w:rFonts w:ascii="Times New Roman" w:hAnsi="Times New Roman"/>
          <w:i/>
        </w:rPr>
        <w:t xml:space="preserve"> Are other Departments’ Internal Resources Considered? </w:t>
      </w:r>
    </w:p>
    <w:p w14:paraId="420FC64E" w14:textId="77777777" w:rsidR="0064082E" w:rsidRPr="008B0A1E" w:rsidRDefault="0064082E" w:rsidP="001F7FDF">
      <w:pPr>
        <w:jc w:val="both"/>
        <w:rPr>
          <w:rFonts w:ascii="Times New Roman" w:hAnsi="Times New Roman"/>
        </w:rPr>
      </w:pPr>
      <w:r w:rsidRPr="008B0A1E">
        <w:rPr>
          <w:rFonts w:ascii="Times New Roman" w:hAnsi="Times New Roman"/>
          <w:noProof/>
        </w:rPr>
        <w:drawing>
          <wp:inline distT="0" distB="0" distL="0" distR="0" wp14:anchorId="591B4C50" wp14:editId="074B7B72">
            <wp:extent cx="4307840" cy="2534920"/>
            <wp:effectExtent l="0" t="0" r="10160" b="5080"/>
            <wp:docPr id="6"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376DFB"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Q.27</w:t>
      </w:r>
      <w:r w:rsidR="000553E8">
        <w:rPr>
          <w:rFonts w:ascii="Times New Roman" w:hAnsi="Times New Roman"/>
          <w:i/>
          <w:sz w:val="20"/>
        </w:rPr>
        <w:t xml:space="preserve"> (Number of respondents)</w:t>
      </w:r>
    </w:p>
    <w:p w14:paraId="5383399B" w14:textId="77777777" w:rsidR="0064082E" w:rsidRDefault="0064082E" w:rsidP="001F7FDF">
      <w:pPr>
        <w:jc w:val="both"/>
        <w:rPr>
          <w:rFonts w:ascii="Times New Roman" w:hAnsi="Times New Roman"/>
        </w:rPr>
      </w:pPr>
    </w:p>
    <w:p w14:paraId="6C45E039" w14:textId="77777777" w:rsidR="00382CF9" w:rsidRDefault="00382CF9" w:rsidP="001F7FDF">
      <w:pPr>
        <w:jc w:val="both"/>
        <w:rPr>
          <w:rFonts w:ascii="Times New Roman" w:hAnsi="Times New Roman"/>
          <w:i/>
        </w:rPr>
      </w:pPr>
    </w:p>
    <w:p w14:paraId="4FB7E0A5" w14:textId="77777777" w:rsidR="00382CF9" w:rsidRDefault="00382CF9" w:rsidP="001F7FDF">
      <w:pPr>
        <w:jc w:val="both"/>
        <w:rPr>
          <w:rFonts w:ascii="Times New Roman" w:hAnsi="Times New Roman"/>
          <w:i/>
        </w:rPr>
      </w:pPr>
    </w:p>
    <w:p w14:paraId="5C31F02F" w14:textId="77777777" w:rsidR="00382CF9" w:rsidRDefault="00382CF9" w:rsidP="001F7FDF">
      <w:pPr>
        <w:jc w:val="both"/>
        <w:rPr>
          <w:rFonts w:ascii="Times New Roman" w:hAnsi="Times New Roman"/>
          <w:i/>
        </w:rPr>
      </w:pPr>
    </w:p>
    <w:p w14:paraId="02D8178A" w14:textId="65A5779E" w:rsidR="000553E8" w:rsidRPr="00E63379" w:rsidRDefault="000553E8" w:rsidP="001F7FDF">
      <w:pPr>
        <w:jc w:val="both"/>
        <w:rPr>
          <w:rFonts w:ascii="Times New Roman" w:hAnsi="Times New Roman"/>
          <w:i/>
        </w:rPr>
      </w:pPr>
      <w:r>
        <w:rPr>
          <w:rFonts w:ascii="Times New Roman" w:hAnsi="Times New Roman"/>
          <w:i/>
        </w:rPr>
        <w:t xml:space="preserve">Chart </w:t>
      </w:r>
      <w:r w:rsidR="0009664C">
        <w:rPr>
          <w:rFonts w:ascii="Times New Roman" w:hAnsi="Times New Roman"/>
          <w:i/>
        </w:rPr>
        <w:t>9</w:t>
      </w:r>
      <w:r w:rsidRPr="008B0A1E">
        <w:rPr>
          <w:rFonts w:ascii="Times New Roman" w:hAnsi="Times New Roman"/>
          <w:i/>
        </w:rPr>
        <w:t xml:space="preserve"> Are other Departments’ Internal Resources Considered? </w:t>
      </w:r>
    </w:p>
    <w:p w14:paraId="370BC227" w14:textId="77777777" w:rsidR="000553E8" w:rsidRDefault="00435B4E" w:rsidP="001F7FDF">
      <w:pPr>
        <w:jc w:val="both"/>
        <w:rPr>
          <w:rFonts w:ascii="Times New Roman" w:hAnsi="Times New Roman"/>
        </w:rPr>
      </w:pPr>
      <w:r w:rsidRPr="00E63379">
        <w:rPr>
          <w:rFonts w:ascii="Times New Roman" w:hAnsi="Times New Roman"/>
          <w:noProof/>
        </w:rPr>
        <w:drawing>
          <wp:inline distT="0" distB="0" distL="0" distR="0" wp14:anchorId="75CB8AD8" wp14:editId="1C9A76C8">
            <wp:extent cx="4572000" cy="2743200"/>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2434C6" w14:textId="77777777" w:rsidR="000553E8" w:rsidRDefault="000553E8" w:rsidP="001F7FDF">
      <w:pPr>
        <w:jc w:val="both"/>
        <w:rPr>
          <w:rFonts w:ascii="Times New Roman" w:hAnsi="Times New Roman"/>
        </w:rPr>
      </w:pPr>
      <w:r w:rsidRPr="008B0A1E">
        <w:rPr>
          <w:rFonts w:ascii="Times New Roman" w:hAnsi="Times New Roman"/>
          <w:i/>
          <w:sz w:val="20"/>
        </w:rPr>
        <w:t>Source Q.27</w:t>
      </w:r>
      <w:r>
        <w:rPr>
          <w:rFonts w:ascii="Times New Roman" w:hAnsi="Times New Roman"/>
          <w:i/>
          <w:sz w:val="20"/>
        </w:rPr>
        <w:t xml:space="preserve"> (Percentage of responses)</w:t>
      </w:r>
    </w:p>
    <w:p w14:paraId="5D098245" w14:textId="77777777" w:rsidR="000553E8" w:rsidRPr="008B0A1E" w:rsidRDefault="000553E8" w:rsidP="001F7FDF">
      <w:pPr>
        <w:jc w:val="both"/>
        <w:rPr>
          <w:rFonts w:ascii="Times New Roman" w:hAnsi="Times New Roman"/>
        </w:rPr>
      </w:pPr>
    </w:p>
    <w:p w14:paraId="50D771F3" w14:textId="77777777" w:rsidR="0009664C" w:rsidRDefault="008A468F" w:rsidP="0009664C">
      <w:pPr>
        <w:spacing w:line="480" w:lineRule="auto"/>
        <w:ind w:firstLine="720"/>
        <w:jc w:val="both"/>
        <w:rPr>
          <w:rFonts w:ascii="Times New Roman" w:hAnsi="Times New Roman"/>
        </w:rPr>
      </w:pPr>
      <w:r>
        <w:rPr>
          <w:rFonts w:ascii="Times New Roman" w:hAnsi="Times New Roman"/>
        </w:rPr>
        <w:t>However, there seems to be more interest from managers who are responsible for larger percentages of the consulting budget to seek out similar skills within the federal bureaucracy</w:t>
      </w:r>
      <w:r w:rsidR="0009664C">
        <w:rPr>
          <w:rFonts w:ascii="Times New Roman" w:hAnsi="Times New Roman"/>
        </w:rPr>
        <w:t xml:space="preserve"> (see Table 9).</w:t>
      </w:r>
    </w:p>
    <w:p w14:paraId="743B4BCB" w14:textId="77777777" w:rsidR="0009664C" w:rsidRDefault="0009664C" w:rsidP="0009664C">
      <w:pPr>
        <w:spacing w:line="480" w:lineRule="auto"/>
        <w:ind w:firstLine="720"/>
        <w:jc w:val="both"/>
        <w:rPr>
          <w:rFonts w:ascii="Times New Roman" w:hAnsi="Times New Roman"/>
        </w:rPr>
      </w:pPr>
    </w:p>
    <w:p w14:paraId="21D7A6C1" w14:textId="76B5EEF3" w:rsidR="0009664C" w:rsidRDefault="0009664C" w:rsidP="0009664C">
      <w:pPr>
        <w:spacing w:line="480" w:lineRule="auto"/>
        <w:ind w:firstLine="720"/>
        <w:jc w:val="both"/>
        <w:rPr>
          <w:rFonts w:ascii="Times New Roman" w:hAnsi="Times New Roman"/>
        </w:rPr>
      </w:pPr>
      <w:r>
        <w:rPr>
          <w:rFonts w:ascii="Times New Roman" w:hAnsi="Times New Roman"/>
        </w:rPr>
        <w:t>Table 9 – Cross-Departmental Issues by Level of Managerial Responsibility</w:t>
      </w:r>
    </w:p>
    <w:tbl>
      <w:tblPr>
        <w:tblW w:w="5000" w:type="pct"/>
        <w:tblLook w:val="0000" w:firstRow="0" w:lastRow="0" w:firstColumn="0" w:lastColumn="0" w:noHBand="0" w:noVBand="0"/>
      </w:tblPr>
      <w:tblGrid>
        <w:gridCol w:w="3087"/>
        <w:gridCol w:w="1001"/>
        <w:gridCol w:w="895"/>
        <w:gridCol w:w="1006"/>
        <w:gridCol w:w="896"/>
        <w:gridCol w:w="1250"/>
        <w:gridCol w:w="721"/>
      </w:tblGrid>
      <w:tr w:rsidR="00F9684A" w:rsidRPr="00F9684A" w14:paraId="4C47E2A9" w14:textId="77777777" w:rsidTr="00E63379">
        <w:trPr>
          <w:trHeight w:val="500"/>
        </w:trPr>
        <w:tc>
          <w:tcPr>
            <w:tcW w:w="5000" w:type="pct"/>
            <w:gridSpan w:val="7"/>
            <w:tcBorders>
              <w:top w:val="nil"/>
              <w:left w:val="nil"/>
              <w:bottom w:val="nil"/>
              <w:right w:val="nil"/>
            </w:tcBorders>
            <w:shd w:val="clear" w:color="auto" w:fill="DDDDDD"/>
            <w:vAlign w:val="center"/>
          </w:tcPr>
          <w:p w14:paraId="69250544" w14:textId="77777777" w:rsidR="00F9684A" w:rsidRPr="00F9684A" w:rsidRDefault="00F9684A" w:rsidP="00F9684A">
            <w:pPr>
              <w:rPr>
                <w:rFonts w:ascii="Microsoft Sans Serif" w:hAnsi="Microsoft Sans Serif" w:cs="Microsoft Sans Serif"/>
                <w:b/>
                <w:bCs/>
                <w:sz w:val="20"/>
                <w:szCs w:val="20"/>
              </w:rPr>
            </w:pPr>
            <w:r w:rsidRPr="00F9684A">
              <w:rPr>
                <w:rFonts w:ascii="Microsoft Sans Serif" w:hAnsi="Microsoft Sans Serif" w:cs="Microsoft Sans Serif"/>
                <w:b/>
                <w:bCs/>
                <w:sz w:val="20"/>
                <w:szCs w:val="20"/>
              </w:rPr>
              <w:t>Does the department consider whether or not the required skills exist in another department or if similar consulting work has been done by another department before engaging an external consultant?</w:t>
            </w:r>
          </w:p>
        </w:tc>
      </w:tr>
      <w:tr w:rsidR="00F9684A" w:rsidRPr="00F9684A" w14:paraId="04E3643D" w14:textId="77777777">
        <w:trPr>
          <w:trHeight w:val="500"/>
        </w:trPr>
        <w:tc>
          <w:tcPr>
            <w:tcW w:w="1743" w:type="pct"/>
            <w:tcBorders>
              <w:top w:val="nil"/>
              <w:left w:val="nil"/>
              <w:bottom w:val="nil"/>
              <w:right w:val="nil"/>
            </w:tcBorders>
            <w:shd w:val="clear" w:color="auto" w:fill="DDDDDD"/>
            <w:noWrap/>
            <w:vAlign w:val="bottom"/>
          </w:tcPr>
          <w:p w14:paraId="7CCF48E1"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2144" w:type="pct"/>
            <w:gridSpan w:val="4"/>
            <w:tcBorders>
              <w:top w:val="nil"/>
              <w:left w:val="nil"/>
              <w:bottom w:val="nil"/>
              <w:right w:val="nil"/>
            </w:tcBorders>
            <w:shd w:val="clear" w:color="auto" w:fill="CCE5CD"/>
            <w:vAlign w:val="center"/>
          </w:tcPr>
          <w:p w14:paraId="372BD7A0"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If so, what percentage of your Department's annual consulting budget do you supervise?</w:t>
            </w:r>
          </w:p>
        </w:tc>
        <w:tc>
          <w:tcPr>
            <w:tcW w:w="1113" w:type="pct"/>
            <w:gridSpan w:val="2"/>
            <w:tcBorders>
              <w:top w:val="nil"/>
              <w:left w:val="nil"/>
              <w:bottom w:val="nil"/>
              <w:right w:val="nil"/>
            </w:tcBorders>
            <w:shd w:val="clear" w:color="auto" w:fill="DDDDDD"/>
            <w:noWrap/>
            <w:vAlign w:val="bottom"/>
          </w:tcPr>
          <w:p w14:paraId="27FBE094"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536D9C12" w14:textId="77777777" w:rsidTr="00E63379">
        <w:trPr>
          <w:trHeight w:val="600"/>
        </w:trPr>
        <w:tc>
          <w:tcPr>
            <w:tcW w:w="1743" w:type="pct"/>
            <w:tcBorders>
              <w:top w:val="nil"/>
              <w:left w:val="nil"/>
              <w:bottom w:val="nil"/>
              <w:right w:val="nil"/>
            </w:tcBorders>
            <w:shd w:val="clear" w:color="auto" w:fill="DEE9F7"/>
            <w:vAlign w:val="center"/>
          </w:tcPr>
          <w:p w14:paraId="22891CCD" w14:textId="77777777" w:rsidR="00F9684A" w:rsidRPr="00F9684A" w:rsidRDefault="00F9684A" w:rsidP="00F9684A">
            <w:pP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Answer Options</w:t>
            </w:r>
          </w:p>
        </w:tc>
        <w:tc>
          <w:tcPr>
            <w:tcW w:w="565" w:type="pct"/>
            <w:tcBorders>
              <w:top w:val="nil"/>
              <w:left w:val="nil"/>
              <w:bottom w:val="nil"/>
              <w:right w:val="nil"/>
            </w:tcBorders>
            <w:shd w:val="clear" w:color="auto" w:fill="CCE5CD"/>
            <w:vAlign w:val="center"/>
          </w:tcPr>
          <w:p w14:paraId="0122B77F"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&lt;10 percent</w:t>
            </w:r>
          </w:p>
        </w:tc>
        <w:tc>
          <w:tcPr>
            <w:tcW w:w="505" w:type="pct"/>
            <w:tcBorders>
              <w:top w:val="nil"/>
              <w:left w:val="nil"/>
              <w:bottom w:val="nil"/>
              <w:right w:val="nil"/>
            </w:tcBorders>
            <w:shd w:val="clear" w:color="auto" w:fill="CCE5CD"/>
            <w:vAlign w:val="center"/>
          </w:tcPr>
          <w:p w14:paraId="2BE64081"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10-25%</w:t>
            </w:r>
          </w:p>
        </w:tc>
        <w:tc>
          <w:tcPr>
            <w:tcW w:w="568" w:type="pct"/>
            <w:tcBorders>
              <w:top w:val="nil"/>
              <w:left w:val="nil"/>
              <w:bottom w:val="nil"/>
              <w:right w:val="nil"/>
            </w:tcBorders>
            <w:shd w:val="clear" w:color="auto" w:fill="CCE5CD"/>
            <w:vAlign w:val="center"/>
          </w:tcPr>
          <w:p w14:paraId="3B4565A3"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25-75%</w:t>
            </w:r>
          </w:p>
        </w:tc>
        <w:tc>
          <w:tcPr>
            <w:tcW w:w="506" w:type="pct"/>
            <w:tcBorders>
              <w:top w:val="nil"/>
              <w:left w:val="nil"/>
              <w:bottom w:val="nil"/>
              <w:right w:val="nil"/>
            </w:tcBorders>
            <w:shd w:val="clear" w:color="auto" w:fill="CCE5CD"/>
            <w:vAlign w:val="center"/>
          </w:tcPr>
          <w:p w14:paraId="7058FC36"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&gt;75%</w:t>
            </w:r>
          </w:p>
        </w:tc>
        <w:tc>
          <w:tcPr>
            <w:tcW w:w="1113" w:type="pct"/>
            <w:gridSpan w:val="2"/>
            <w:tcBorders>
              <w:top w:val="nil"/>
              <w:left w:val="nil"/>
              <w:bottom w:val="nil"/>
              <w:right w:val="nil"/>
            </w:tcBorders>
            <w:shd w:val="clear" w:color="auto" w:fill="CDD8E6"/>
            <w:vAlign w:val="center"/>
          </w:tcPr>
          <w:p w14:paraId="20D08B9F"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Response Count</w:t>
            </w:r>
          </w:p>
          <w:p w14:paraId="7B890ABB" w14:textId="77777777" w:rsidR="00F9684A" w:rsidRPr="00F9684A" w:rsidRDefault="00F9684A" w:rsidP="00F9684A">
            <w:pPr>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 </w:t>
            </w:r>
          </w:p>
        </w:tc>
      </w:tr>
      <w:tr w:rsidR="00F9684A" w:rsidRPr="00F9684A" w14:paraId="60BCDED5" w14:textId="77777777" w:rsidTr="00E63379">
        <w:trPr>
          <w:trHeight w:val="240"/>
        </w:trPr>
        <w:tc>
          <w:tcPr>
            <w:tcW w:w="1743" w:type="pct"/>
            <w:tcBorders>
              <w:top w:val="nil"/>
              <w:left w:val="nil"/>
              <w:bottom w:val="nil"/>
              <w:right w:val="nil"/>
            </w:tcBorders>
            <w:shd w:val="clear" w:color="auto" w:fill="EEEEEE"/>
            <w:noWrap/>
            <w:vAlign w:val="bottom"/>
          </w:tcPr>
          <w:p w14:paraId="2F094D5C"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Always</w:t>
            </w:r>
          </w:p>
        </w:tc>
        <w:tc>
          <w:tcPr>
            <w:tcW w:w="565" w:type="pct"/>
            <w:tcBorders>
              <w:top w:val="nil"/>
              <w:left w:val="nil"/>
              <w:bottom w:val="nil"/>
              <w:right w:val="nil"/>
            </w:tcBorders>
            <w:shd w:val="clear" w:color="auto" w:fill="DEF7DF"/>
            <w:noWrap/>
            <w:vAlign w:val="center"/>
          </w:tcPr>
          <w:p w14:paraId="12E98EB4"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11.11%</w:t>
            </w:r>
          </w:p>
        </w:tc>
        <w:tc>
          <w:tcPr>
            <w:tcW w:w="505" w:type="pct"/>
            <w:tcBorders>
              <w:top w:val="nil"/>
              <w:left w:val="nil"/>
              <w:bottom w:val="nil"/>
              <w:right w:val="nil"/>
            </w:tcBorders>
            <w:shd w:val="clear" w:color="auto" w:fill="DEF7DF"/>
            <w:noWrap/>
            <w:vAlign w:val="center"/>
          </w:tcPr>
          <w:p w14:paraId="25143F6C"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68" w:type="pct"/>
            <w:tcBorders>
              <w:top w:val="nil"/>
              <w:left w:val="nil"/>
              <w:bottom w:val="nil"/>
              <w:right w:val="nil"/>
            </w:tcBorders>
            <w:shd w:val="clear" w:color="auto" w:fill="DEF7DF"/>
            <w:noWrap/>
            <w:vAlign w:val="center"/>
          </w:tcPr>
          <w:p w14:paraId="14D1D646"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5115EC35"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50.00%</w:t>
            </w:r>
          </w:p>
        </w:tc>
        <w:tc>
          <w:tcPr>
            <w:tcW w:w="1113" w:type="pct"/>
            <w:gridSpan w:val="2"/>
            <w:tcBorders>
              <w:top w:val="nil"/>
              <w:left w:val="nil"/>
              <w:bottom w:val="nil"/>
              <w:right w:val="nil"/>
            </w:tcBorders>
            <w:shd w:val="clear" w:color="auto" w:fill="EEEEEE"/>
            <w:noWrap/>
            <w:vAlign w:val="bottom"/>
          </w:tcPr>
          <w:p w14:paraId="5113909C"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p w14:paraId="769F84F7"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779AA375" w14:textId="77777777" w:rsidTr="00E63379">
        <w:trPr>
          <w:trHeight w:val="240"/>
        </w:trPr>
        <w:tc>
          <w:tcPr>
            <w:tcW w:w="1743" w:type="pct"/>
            <w:tcBorders>
              <w:top w:val="nil"/>
              <w:left w:val="nil"/>
              <w:bottom w:val="nil"/>
              <w:right w:val="nil"/>
            </w:tcBorders>
            <w:shd w:val="clear" w:color="auto" w:fill="EEEEEE"/>
            <w:noWrap/>
            <w:vAlign w:val="bottom"/>
          </w:tcPr>
          <w:p w14:paraId="48BD68D2"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Frequently</w:t>
            </w:r>
          </w:p>
        </w:tc>
        <w:tc>
          <w:tcPr>
            <w:tcW w:w="565" w:type="pct"/>
            <w:tcBorders>
              <w:top w:val="nil"/>
              <w:left w:val="nil"/>
              <w:bottom w:val="nil"/>
              <w:right w:val="nil"/>
            </w:tcBorders>
            <w:shd w:val="clear" w:color="auto" w:fill="DEF7DF"/>
            <w:noWrap/>
            <w:vAlign w:val="center"/>
          </w:tcPr>
          <w:p w14:paraId="256B1928"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24.44%</w:t>
            </w:r>
          </w:p>
        </w:tc>
        <w:tc>
          <w:tcPr>
            <w:tcW w:w="505" w:type="pct"/>
            <w:tcBorders>
              <w:top w:val="nil"/>
              <w:left w:val="nil"/>
              <w:bottom w:val="nil"/>
              <w:right w:val="nil"/>
            </w:tcBorders>
            <w:shd w:val="clear" w:color="auto" w:fill="DEF7DF"/>
            <w:noWrap/>
            <w:vAlign w:val="center"/>
          </w:tcPr>
          <w:p w14:paraId="18B0D758"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68" w:type="pct"/>
            <w:tcBorders>
              <w:top w:val="nil"/>
              <w:left w:val="nil"/>
              <w:bottom w:val="nil"/>
              <w:right w:val="nil"/>
            </w:tcBorders>
            <w:shd w:val="clear" w:color="auto" w:fill="DEF7DF"/>
            <w:noWrap/>
            <w:vAlign w:val="center"/>
          </w:tcPr>
          <w:p w14:paraId="53420D34"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2801739C"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16.67%</w:t>
            </w:r>
          </w:p>
        </w:tc>
        <w:tc>
          <w:tcPr>
            <w:tcW w:w="706" w:type="pct"/>
            <w:tcBorders>
              <w:top w:val="nil"/>
              <w:left w:val="nil"/>
              <w:bottom w:val="nil"/>
              <w:right w:val="nil"/>
            </w:tcBorders>
            <w:shd w:val="clear" w:color="auto" w:fill="EEEEEE"/>
            <w:noWrap/>
            <w:vAlign w:val="bottom"/>
          </w:tcPr>
          <w:p w14:paraId="5ABCFAD7"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1EEFFBC6"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547D5775" w14:textId="77777777" w:rsidTr="00E63379">
        <w:trPr>
          <w:trHeight w:val="240"/>
        </w:trPr>
        <w:tc>
          <w:tcPr>
            <w:tcW w:w="1743" w:type="pct"/>
            <w:tcBorders>
              <w:top w:val="nil"/>
              <w:left w:val="nil"/>
              <w:bottom w:val="nil"/>
              <w:right w:val="nil"/>
            </w:tcBorders>
            <w:shd w:val="clear" w:color="auto" w:fill="EEEEEE"/>
            <w:noWrap/>
            <w:vAlign w:val="bottom"/>
          </w:tcPr>
          <w:p w14:paraId="027DB91E"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Sometimes</w:t>
            </w:r>
          </w:p>
        </w:tc>
        <w:tc>
          <w:tcPr>
            <w:tcW w:w="565" w:type="pct"/>
            <w:tcBorders>
              <w:top w:val="nil"/>
              <w:left w:val="nil"/>
              <w:bottom w:val="nil"/>
              <w:right w:val="nil"/>
            </w:tcBorders>
            <w:shd w:val="clear" w:color="auto" w:fill="DEF7DF"/>
            <w:noWrap/>
            <w:vAlign w:val="center"/>
          </w:tcPr>
          <w:p w14:paraId="2C335FE2"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35.56%</w:t>
            </w:r>
          </w:p>
        </w:tc>
        <w:tc>
          <w:tcPr>
            <w:tcW w:w="505" w:type="pct"/>
            <w:tcBorders>
              <w:top w:val="nil"/>
              <w:left w:val="nil"/>
              <w:bottom w:val="nil"/>
              <w:right w:val="nil"/>
            </w:tcBorders>
            <w:shd w:val="clear" w:color="auto" w:fill="DEF7DF"/>
            <w:noWrap/>
            <w:vAlign w:val="center"/>
          </w:tcPr>
          <w:p w14:paraId="49F22C7B"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33.33%</w:t>
            </w:r>
          </w:p>
        </w:tc>
        <w:tc>
          <w:tcPr>
            <w:tcW w:w="568" w:type="pct"/>
            <w:tcBorders>
              <w:top w:val="nil"/>
              <w:left w:val="nil"/>
              <w:bottom w:val="nil"/>
              <w:right w:val="nil"/>
            </w:tcBorders>
            <w:shd w:val="clear" w:color="auto" w:fill="DEF7DF"/>
            <w:noWrap/>
            <w:vAlign w:val="center"/>
          </w:tcPr>
          <w:p w14:paraId="6AA1512F"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100.00%</w:t>
            </w:r>
          </w:p>
        </w:tc>
        <w:tc>
          <w:tcPr>
            <w:tcW w:w="506" w:type="pct"/>
            <w:tcBorders>
              <w:top w:val="nil"/>
              <w:left w:val="nil"/>
              <w:bottom w:val="nil"/>
              <w:right w:val="nil"/>
            </w:tcBorders>
            <w:shd w:val="clear" w:color="auto" w:fill="DEF7DF"/>
            <w:noWrap/>
            <w:vAlign w:val="center"/>
          </w:tcPr>
          <w:p w14:paraId="49B4647F"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16.67%</w:t>
            </w:r>
          </w:p>
        </w:tc>
        <w:tc>
          <w:tcPr>
            <w:tcW w:w="706" w:type="pct"/>
            <w:tcBorders>
              <w:top w:val="nil"/>
              <w:left w:val="nil"/>
              <w:bottom w:val="nil"/>
              <w:right w:val="nil"/>
            </w:tcBorders>
            <w:shd w:val="clear" w:color="auto" w:fill="EEEEEE"/>
            <w:noWrap/>
            <w:vAlign w:val="bottom"/>
          </w:tcPr>
          <w:p w14:paraId="28802F9C"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58AF347C"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6AD92EDA" w14:textId="77777777" w:rsidTr="00E63379">
        <w:trPr>
          <w:trHeight w:val="240"/>
        </w:trPr>
        <w:tc>
          <w:tcPr>
            <w:tcW w:w="1743" w:type="pct"/>
            <w:tcBorders>
              <w:top w:val="nil"/>
              <w:left w:val="nil"/>
              <w:bottom w:val="nil"/>
              <w:right w:val="nil"/>
            </w:tcBorders>
            <w:shd w:val="clear" w:color="auto" w:fill="EEEEEE"/>
            <w:noWrap/>
            <w:vAlign w:val="bottom"/>
          </w:tcPr>
          <w:p w14:paraId="6790F83F"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Rarely</w:t>
            </w:r>
          </w:p>
        </w:tc>
        <w:tc>
          <w:tcPr>
            <w:tcW w:w="565" w:type="pct"/>
            <w:tcBorders>
              <w:top w:val="nil"/>
              <w:left w:val="nil"/>
              <w:bottom w:val="nil"/>
              <w:right w:val="nil"/>
            </w:tcBorders>
            <w:shd w:val="clear" w:color="auto" w:fill="DEF7DF"/>
            <w:noWrap/>
            <w:vAlign w:val="center"/>
          </w:tcPr>
          <w:p w14:paraId="3F90736F"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26.67%</w:t>
            </w:r>
          </w:p>
        </w:tc>
        <w:tc>
          <w:tcPr>
            <w:tcW w:w="505" w:type="pct"/>
            <w:tcBorders>
              <w:top w:val="nil"/>
              <w:left w:val="nil"/>
              <w:bottom w:val="nil"/>
              <w:right w:val="nil"/>
            </w:tcBorders>
            <w:shd w:val="clear" w:color="auto" w:fill="DEF7DF"/>
            <w:noWrap/>
            <w:vAlign w:val="center"/>
          </w:tcPr>
          <w:p w14:paraId="23A94E68"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33.33%</w:t>
            </w:r>
          </w:p>
        </w:tc>
        <w:tc>
          <w:tcPr>
            <w:tcW w:w="568" w:type="pct"/>
            <w:tcBorders>
              <w:top w:val="nil"/>
              <w:left w:val="nil"/>
              <w:bottom w:val="nil"/>
              <w:right w:val="nil"/>
            </w:tcBorders>
            <w:shd w:val="clear" w:color="auto" w:fill="DEF7DF"/>
            <w:noWrap/>
            <w:vAlign w:val="center"/>
          </w:tcPr>
          <w:p w14:paraId="3131A088"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57E85673"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16.67%</w:t>
            </w:r>
          </w:p>
        </w:tc>
        <w:tc>
          <w:tcPr>
            <w:tcW w:w="706" w:type="pct"/>
            <w:tcBorders>
              <w:top w:val="nil"/>
              <w:left w:val="nil"/>
              <w:bottom w:val="nil"/>
              <w:right w:val="nil"/>
            </w:tcBorders>
            <w:shd w:val="clear" w:color="auto" w:fill="EEEEEE"/>
            <w:noWrap/>
            <w:vAlign w:val="bottom"/>
          </w:tcPr>
          <w:p w14:paraId="074959D7"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24083B57"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3CA02C4F" w14:textId="77777777" w:rsidTr="00E63379">
        <w:trPr>
          <w:trHeight w:val="240"/>
        </w:trPr>
        <w:tc>
          <w:tcPr>
            <w:tcW w:w="1743" w:type="pct"/>
            <w:tcBorders>
              <w:top w:val="nil"/>
              <w:left w:val="nil"/>
              <w:bottom w:val="nil"/>
              <w:right w:val="nil"/>
            </w:tcBorders>
            <w:shd w:val="clear" w:color="auto" w:fill="EEEEEE"/>
            <w:noWrap/>
            <w:vAlign w:val="bottom"/>
          </w:tcPr>
          <w:p w14:paraId="28E74E84"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Never</w:t>
            </w:r>
          </w:p>
        </w:tc>
        <w:tc>
          <w:tcPr>
            <w:tcW w:w="565" w:type="pct"/>
            <w:tcBorders>
              <w:top w:val="nil"/>
              <w:left w:val="nil"/>
              <w:bottom w:val="nil"/>
              <w:right w:val="nil"/>
            </w:tcBorders>
            <w:shd w:val="clear" w:color="auto" w:fill="DEF7DF"/>
            <w:noWrap/>
            <w:vAlign w:val="center"/>
          </w:tcPr>
          <w:p w14:paraId="4CBBF864"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4.44%</w:t>
            </w:r>
          </w:p>
        </w:tc>
        <w:tc>
          <w:tcPr>
            <w:tcW w:w="505" w:type="pct"/>
            <w:tcBorders>
              <w:top w:val="nil"/>
              <w:left w:val="nil"/>
              <w:bottom w:val="nil"/>
              <w:right w:val="nil"/>
            </w:tcBorders>
            <w:shd w:val="clear" w:color="auto" w:fill="DEF7DF"/>
            <w:noWrap/>
            <w:vAlign w:val="center"/>
          </w:tcPr>
          <w:p w14:paraId="6234F762"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33.33%</w:t>
            </w:r>
          </w:p>
        </w:tc>
        <w:tc>
          <w:tcPr>
            <w:tcW w:w="568" w:type="pct"/>
            <w:tcBorders>
              <w:top w:val="nil"/>
              <w:left w:val="nil"/>
              <w:bottom w:val="nil"/>
              <w:right w:val="nil"/>
            </w:tcBorders>
            <w:shd w:val="clear" w:color="auto" w:fill="DEF7DF"/>
            <w:noWrap/>
            <w:vAlign w:val="center"/>
          </w:tcPr>
          <w:p w14:paraId="25034963"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0A232C31"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706" w:type="pct"/>
            <w:tcBorders>
              <w:top w:val="nil"/>
              <w:left w:val="nil"/>
              <w:bottom w:val="nil"/>
              <w:right w:val="nil"/>
            </w:tcBorders>
            <w:shd w:val="clear" w:color="auto" w:fill="EEEEEE"/>
            <w:noWrap/>
            <w:vAlign w:val="bottom"/>
          </w:tcPr>
          <w:p w14:paraId="02630362"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2B858731"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F9684A" w:rsidRPr="00F9684A" w14:paraId="77AFF71A" w14:textId="77777777" w:rsidTr="00E63379">
        <w:trPr>
          <w:trHeight w:val="240"/>
        </w:trPr>
        <w:tc>
          <w:tcPr>
            <w:tcW w:w="1743" w:type="pct"/>
            <w:tcBorders>
              <w:top w:val="nil"/>
              <w:left w:val="nil"/>
              <w:bottom w:val="nil"/>
              <w:right w:val="nil"/>
            </w:tcBorders>
            <w:shd w:val="clear" w:color="auto" w:fill="DDDDDD"/>
            <w:noWrap/>
            <w:vAlign w:val="bottom"/>
          </w:tcPr>
          <w:p w14:paraId="67D0A472" w14:textId="77777777" w:rsidR="00F9684A" w:rsidRPr="00F9684A" w:rsidRDefault="00F9684A" w:rsidP="00F9684A">
            <w:pP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565" w:type="pct"/>
            <w:tcBorders>
              <w:top w:val="nil"/>
              <w:left w:val="nil"/>
              <w:bottom w:val="nil"/>
              <w:right w:val="nil"/>
            </w:tcBorders>
            <w:shd w:val="clear" w:color="auto" w:fill="C0C0C0"/>
            <w:noWrap/>
            <w:vAlign w:val="bottom"/>
          </w:tcPr>
          <w:p w14:paraId="4A4189C6"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45</w:t>
            </w:r>
          </w:p>
        </w:tc>
        <w:tc>
          <w:tcPr>
            <w:tcW w:w="505" w:type="pct"/>
            <w:tcBorders>
              <w:top w:val="nil"/>
              <w:left w:val="nil"/>
              <w:bottom w:val="nil"/>
              <w:right w:val="nil"/>
            </w:tcBorders>
            <w:shd w:val="clear" w:color="auto" w:fill="C0C0C0"/>
            <w:noWrap/>
            <w:vAlign w:val="bottom"/>
          </w:tcPr>
          <w:p w14:paraId="4F4F3B08"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6</w:t>
            </w:r>
          </w:p>
        </w:tc>
        <w:tc>
          <w:tcPr>
            <w:tcW w:w="568" w:type="pct"/>
            <w:tcBorders>
              <w:top w:val="nil"/>
              <w:left w:val="nil"/>
              <w:bottom w:val="nil"/>
              <w:right w:val="nil"/>
            </w:tcBorders>
            <w:shd w:val="clear" w:color="auto" w:fill="C0C0C0"/>
            <w:noWrap/>
            <w:vAlign w:val="bottom"/>
          </w:tcPr>
          <w:p w14:paraId="2D989466"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w:t>
            </w:r>
          </w:p>
        </w:tc>
        <w:tc>
          <w:tcPr>
            <w:tcW w:w="506" w:type="pct"/>
            <w:tcBorders>
              <w:top w:val="nil"/>
              <w:left w:val="nil"/>
              <w:bottom w:val="nil"/>
              <w:right w:val="nil"/>
            </w:tcBorders>
            <w:shd w:val="clear" w:color="auto" w:fill="C0C0C0"/>
            <w:noWrap/>
            <w:vAlign w:val="bottom"/>
          </w:tcPr>
          <w:p w14:paraId="5181D582"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6</w:t>
            </w:r>
          </w:p>
        </w:tc>
        <w:tc>
          <w:tcPr>
            <w:tcW w:w="706" w:type="pct"/>
            <w:tcBorders>
              <w:top w:val="nil"/>
              <w:left w:val="nil"/>
              <w:bottom w:val="nil"/>
              <w:right w:val="nil"/>
            </w:tcBorders>
            <w:shd w:val="clear" w:color="auto" w:fill="DDDDDD"/>
            <w:noWrap/>
            <w:vAlign w:val="center"/>
          </w:tcPr>
          <w:p w14:paraId="7CE8CEDD"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59</w:t>
            </w:r>
          </w:p>
        </w:tc>
        <w:tc>
          <w:tcPr>
            <w:tcW w:w="407" w:type="pct"/>
            <w:tcBorders>
              <w:top w:val="nil"/>
              <w:left w:val="nil"/>
              <w:bottom w:val="nil"/>
              <w:right w:val="nil"/>
            </w:tcBorders>
            <w:shd w:val="clear" w:color="auto" w:fill="CDD8E6"/>
            <w:noWrap/>
            <w:vAlign w:val="center"/>
          </w:tcPr>
          <w:p w14:paraId="0A54F10B" w14:textId="77777777" w:rsidR="00F9684A" w:rsidRPr="00F9684A" w:rsidRDefault="00F9684A" w:rsidP="00F9684A">
            <w:pPr>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bl>
    <w:p w14:paraId="34A7A4EB" w14:textId="77777777" w:rsidR="00F9684A" w:rsidRDefault="00F9684A" w:rsidP="00652E46">
      <w:pPr>
        <w:spacing w:line="480" w:lineRule="auto"/>
        <w:ind w:firstLine="720"/>
        <w:jc w:val="both"/>
        <w:rPr>
          <w:rFonts w:ascii="Times New Roman" w:hAnsi="Times New Roman"/>
        </w:rPr>
      </w:pPr>
    </w:p>
    <w:p w14:paraId="1E6EAA9B" w14:textId="77777777" w:rsidR="00382CF9" w:rsidRDefault="008A468F" w:rsidP="008050C6">
      <w:pPr>
        <w:spacing w:line="480" w:lineRule="auto"/>
        <w:ind w:firstLine="720"/>
        <w:jc w:val="both"/>
        <w:rPr>
          <w:rFonts w:ascii="Times New Roman" w:hAnsi="Times New Roman"/>
        </w:rPr>
      </w:pPr>
      <w:r>
        <w:rPr>
          <w:rFonts w:ascii="Times New Roman" w:hAnsi="Times New Roman"/>
        </w:rPr>
        <w:t xml:space="preserve">While numbers are significant only for the less then 10% category, it is interesting to notice that the lower the amounts directly supervised, the less likely is the pressure or the practice to always seek out internal solutions. This may of course depend on the diminishing returns that the process may appear to grant. </w:t>
      </w:r>
      <w:r w:rsidR="008050C6">
        <w:rPr>
          <w:rFonts w:ascii="Times New Roman" w:hAnsi="Times New Roman"/>
        </w:rPr>
        <w:t>However, this leads an interesting question on whether the practice of fragmenting responsibility for contracting budgets may not dampen the capacity or the willingness of an administrator to seek synergic connections and opportunities for organizational learning and cooperation. Our analysis appears to suggest that this type of process is, in fact, in place.</w:t>
      </w:r>
    </w:p>
    <w:p w14:paraId="1693D0FB" w14:textId="6A4E1591" w:rsidR="00652E46" w:rsidRDefault="0064082E" w:rsidP="00652E46">
      <w:pPr>
        <w:spacing w:line="480" w:lineRule="auto"/>
        <w:ind w:firstLine="720"/>
        <w:jc w:val="both"/>
        <w:rPr>
          <w:rFonts w:ascii="Times New Roman" w:hAnsi="Times New Roman"/>
        </w:rPr>
      </w:pPr>
      <w:r w:rsidRPr="008B0A1E">
        <w:rPr>
          <w:rFonts w:ascii="Times New Roman" w:hAnsi="Times New Roman"/>
        </w:rPr>
        <w:t xml:space="preserve">The picture is </w:t>
      </w:r>
      <w:r w:rsidR="00EB49D7">
        <w:rPr>
          <w:rFonts w:ascii="Times New Roman" w:hAnsi="Times New Roman"/>
        </w:rPr>
        <w:t>simil</w:t>
      </w:r>
      <w:r w:rsidR="000553E8">
        <w:rPr>
          <w:rFonts w:ascii="Times New Roman" w:hAnsi="Times New Roman"/>
        </w:rPr>
        <w:t>a</w:t>
      </w:r>
      <w:r w:rsidR="00EB49D7">
        <w:rPr>
          <w:rFonts w:ascii="Times New Roman" w:hAnsi="Times New Roman"/>
        </w:rPr>
        <w:t xml:space="preserve">r </w:t>
      </w:r>
      <w:r w:rsidRPr="008B0A1E">
        <w:rPr>
          <w:rFonts w:ascii="Times New Roman" w:hAnsi="Times New Roman"/>
        </w:rPr>
        <w:t>for potential cooperation with other administrative units in the aggregated purchase</w:t>
      </w:r>
      <w:r w:rsidR="00EB49D7">
        <w:rPr>
          <w:rFonts w:ascii="Times New Roman" w:hAnsi="Times New Roman"/>
        </w:rPr>
        <w:t xml:space="preserve"> of consulting services. </w:t>
      </w:r>
      <w:r w:rsidRPr="008B0A1E">
        <w:rPr>
          <w:rFonts w:ascii="Times New Roman" w:hAnsi="Times New Roman"/>
        </w:rPr>
        <w:t xml:space="preserve">The results </w:t>
      </w:r>
      <w:r w:rsidR="008150F7">
        <w:rPr>
          <w:rFonts w:ascii="Times New Roman" w:hAnsi="Times New Roman"/>
        </w:rPr>
        <w:t xml:space="preserve">(Chart </w:t>
      </w:r>
      <w:r w:rsidR="0009664C">
        <w:rPr>
          <w:rFonts w:ascii="Times New Roman" w:hAnsi="Times New Roman"/>
        </w:rPr>
        <w:t>10</w:t>
      </w:r>
      <w:r w:rsidR="00EB49D7">
        <w:rPr>
          <w:rFonts w:ascii="Times New Roman" w:hAnsi="Times New Roman"/>
        </w:rPr>
        <w:t xml:space="preserve">) </w:t>
      </w:r>
      <w:r w:rsidRPr="008B0A1E">
        <w:rPr>
          <w:rFonts w:ascii="Times New Roman" w:hAnsi="Times New Roman"/>
        </w:rPr>
        <w:t xml:space="preserve">show that there is </w:t>
      </w:r>
      <w:r w:rsidR="00EB49D7">
        <w:rPr>
          <w:rFonts w:ascii="Times New Roman" w:hAnsi="Times New Roman"/>
        </w:rPr>
        <w:t>very little cooperation in the area with only 14% of managers reporting frequent or routine contact in this area.</w:t>
      </w:r>
    </w:p>
    <w:p w14:paraId="3FC4EA66" w14:textId="509E3B22" w:rsidR="0064082E" w:rsidRPr="00652E46" w:rsidRDefault="008150F7" w:rsidP="00652E46">
      <w:pPr>
        <w:spacing w:line="480" w:lineRule="auto"/>
        <w:ind w:firstLine="720"/>
        <w:jc w:val="both"/>
        <w:rPr>
          <w:rFonts w:ascii="Times New Roman" w:hAnsi="Times New Roman"/>
        </w:rPr>
      </w:pPr>
      <w:r>
        <w:rPr>
          <w:rFonts w:ascii="Times New Roman" w:hAnsi="Times New Roman"/>
          <w:i/>
        </w:rPr>
        <w:t xml:space="preserve">Chart </w:t>
      </w:r>
      <w:r w:rsidR="0009664C">
        <w:rPr>
          <w:rFonts w:ascii="Times New Roman" w:hAnsi="Times New Roman"/>
          <w:i/>
        </w:rPr>
        <w:t>10</w:t>
      </w:r>
      <w:r>
        <w:rPr>
          <w:rFonts w:ascii="Times New Roman" w:hAnsi="Times New Roman"/>
          <w:i/>
        </w:rPr>
        <w:t xml:space="preserve"> </w:t>
      </w:r>
      <w:r w:rsidR="0064082E" w:rsidRPr="008B0A1E">
        <w:rPr>
          <w:rFonts w:ascii="Times New Roman" w:hAnsi="Times New Roman"/>
          <w:i/>
        </w:rPr>
        <w:t>Frequency of Consideration of Aggregate Consulting Purchases</w:t>
      </w:r>
    </w:p>
    <w:p w14:paraId="00613442" w14:textId="77777777" w:rsidR="0064082E" w:rsidRPr="008B0A1E" w:rsidRDefault="0064082E" w:rsidP="001F7FDF">
      <w:pPr>
        <w:jc w:val="both"/>
        <w:rPr>
          <w:rFonts w:ascii="Times New Roman" w:hAnsi="Times New Roman"/>
        </w:rPr>
      </w:pPr>
      <w:r w:rsidRPr="008B0A1E">
        <w:rPr>
          <w:rFonts w:ascii="Times New Roman" w:hAnsi="Times New Roman"/>
          <w:noProof/>
        </w:rPr>
        <w:drawing>
          <wp:inline distT="0" distB="0" distL="0" distR="0" wp14:anchorId="6CCBA94D" wp14:editId="5C2AD639">
            <wp:extent cx="4572000" cy="2743200"/>
            <wp:effectExtent l="25400" t="25400" r="0" b="0"/>
            <wp:docPr id="8"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1E7C5A" w14:textId="77777777" w:rsidR="00EB49D7" w:rsidRPr="00652E46" w:rsidRDefault="0064082E" w:rsidP="00652E46">
      <w:pPr>
        <w:jc w:val="both"/>
        <w:rPr>
          <w:rFonts w:ascii="Times New Roman" w:hAnsi="Times New Roman"/>
          <w:i/>
          <w:sz w:val="20"/>
        </w:rPr>
      </w:pPr>
      <w:r w:rsidRPr="008B0A1E">
        <w:rPr>
          <w:rFonts w:ascii="Times New Roman" w:hAnsi="Times New Roman"/>
          <w:i/>
          <w:sz w:val="20"/>
        </w:rPr>
        <w:t>Source Q.28</w:t>
      </w:r>
    </w:p>
    <w:p w14:paraId="28956144" w14:textId="77777777" w:rsidR="008150F7" w:rsidRDefault="008150F7" w:rsidP="00652E46">
      <w:pPr>
        <w:spacing w:line="480" w:lineRule="auto"/>
        <w:ind w:firstLine="720"/>
        <w:jc w:val="both"/>
        <w:rPr>
          <w:rFonts w:ascii="Times New Roman" w:hAnsi="Times New Roman"/>
        </w:rPr>
      </w:pPr>
    </w:p>
    <w:p w14:paraId="05C12408" w14:textId="614F70EC" w:rsidR="00EB49D7" w:rsidRDefault="0064082E" w:rsidP="00652E46">
      <w:pPr>
        <w:spacing w:line="480" w:lineRule="auto"/>
        <w:ind w:firstLine="720"/>
        <w:jc w:val="both"/>
        <w:rPr>
          <w:rFonts w:ascii="Times New Roman" w:hAnsi="Times New Roman"/>
        </w:rPr>
      </w:pPr>
      <w:r w:rsidRPr="008B0A1E">
        <w:rPr>
          <w:rFonts w:ascii="Times New Roman" w:hAnsi="Times New Roman"/>
        </w:rPr>
        <w:t xml:space="preserve">It is </w:t>
      </w:r>
      <w:r w:rsidR="00EB49D7">
        <w:rPr>
          <w:rFonts w:ascii="Times New Roman" w:hAnsi="Times New Roman"/>
        </w:rPr>
        <w:t>also</w:t>
      </w:r>
      <w:r w:rsidRPr="008B0A1E">
        <w:rPr>
          <w:rFonts w:ascii="Times New Roman" w:hAnsi="Times New Roman"/>
        </w:rPr>
        <w:t xml:space="preserve"> interesting to note that only 15.8% of respondents mention that their department has a policy for skill transfers from consultancy engagements. Furthermore, in this already relatively small sample the requirement for skill transfer is seldom written into the contract. Only 5.13% of </w:t>
      </w:r>
      <w:r w:rsidR="007C2393" w:rsidRPr="008B0A1E">
        <w:rPr>
          <w:rFonts w:ascii="Times New Roman" w:hAnsi="Times New Roman"/>
        </w:rPr>
        <w:t>respondents’</w:t>
      </w:r>
      <w:r w:rsidRPr="008B0A1E">
        <w:rPr>
          <w:rFonts w:ascii="Times New Roman" w:hAnsi="Times New Roman"/>
        </w:rPr>
        <w:t xml:space="preserve"> answer that this is always done, and only 7.69% answered that it is done frequently</w:t>
      </w:r>
      <w:r w:rsidR="000543B8">
        <w:rPr>
          <w:rFonts w:ascii="Times New Roman" w:hAnsi="Times New Roman"/>
        </w:rPr>
        <w:t xml:space="preserve"> (Chart </w:t>
      </w:r>
      <w:r w:rsidR="0009664C">
        <w:rPr>
          <w:rFonts w:ascii="Times New Roman" w:hAnsi="Times New Roman"/>
        </w:rPr>
        <w:t>11</w:t>
      </w:r>
      <w:r w:rsidR="00EB49D7">
        <w:rPr>
          <w:rFonts w:ascii="Times New Roman" w:hAnsi="Times New Roman"/>
        </w:rPr>
        <w:t>).</w:t>
      </w:r>
      <w:r w:rsidRPr="008B0A1E">
        <w:rPr>
          <w:rFonts w:ascii="Times New Roman" w:hAnsi="Times New Roman"/>
        </w:rPr>
        <w:t xml:space="preserve"> </w:t>
      </w:r>
    </w:p>
    <w:p w14:paraId="5D8FEE78" w14:textId="77777777" w:rsidR="00EB49D7" w:rsidRPr="008B0A1E" w:rsidRDefault="00EB49D7" w:rsidP="001F7FDF">
      <w:pPr>
        <w:jc w:val="both"/>
        <w:rPr>
          <w:rFonts w:ascii="Times New Roman" w:hAnsi="Times New Roman"/>
        </w:rPr>
      </w:pPr>
    </w:p>
    <w:p w14:paraId="75BC47D5" w14:textId="3FAC0B51" w:rsidR="0064082E" w:rsidRPr="008B0A1E" w:rsidRDefault="000543B8" w:rsidP="001F7FDF">
      <w:pPr>
        <w:jc w:val="both"/>
        <w:rPr>
          <w:rFonts w:ascii="Times New Roman" w:hAnsi="Times New Roman"/>
          <w:i/>
        </w:rPr>
      </w:pPr>
      <w:r>
        <w:rPr>
          <w:rFonts w:ascii="Times New Roman" w:hAnsi="Times New Roman"/>
          <w:i/>
        </w:rPr>
        <w:t xml:space="preserve">Chart </w:t>
      </w:r>
      <w:r w:rsidR="0009664C">
        <w:rPr>
          <w:rFonts w:ascii="Times New Roman" w:hAnsi="Times New Roman"/>
          <w:i/>
        </w:rPr>
        <w:t>11</w:t>
      </w:r>
      <w:r w:rsidR="0064082E" w:rsidRPr="008B0A1E">
        <w:rPr>
          <w:rFonts w:ascii="Times New Roman" w:hAnsi="Times New Roman"/>
          <w:i/>
        </w:rPr>
        <w:t xml:space="preserve"> Frequency of Formal Skill Transfer Protocols in Consultancy Agreements</w:t>
      </w:r>
    </w:p>
    <w:p w14:paraId="531CB934" w14:textId="77777777" w:rsidR="0064082E" w:rsidRPr="008B0A1E" w:rsidRDefault="0064082E" w:rsidP="001F7FDF">
      <w:pPr>
        <w:jc w:val="both"/>
        <w:rPr>
          <w:rFonts w:ascii="Times New Roman" w:hAnsi="Times New Roman"/>
        </w:rPr>
      </w:pPr>
      <w:r w:rsidRPr="008B0A1E">
        <w:rPr>
          <w:rFonts w:ascii="Times New Roman" w:hAnsi="Times New Roman"/>
          <w:noProof/>
        </w:rPr>
        <w:drawing>
          <wp:inline distT="0" distB="0" distL="0" distR="0" wp14:anchorId="72692E3B" wp14:editId="481F925B">
            <wp:extent cx="4307840" cy="2606040"/>
            <wp:effectExtent l="0" t="0" r="10160" b="10160"/>
            <wp:docPr id="9"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F9DF6D"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Q.42</w:t>
      </w:r>
    </w:p>
    <w:p w14:paraId="7FFD22C6" w14:textId="77777777" w:rsidR="0064082E" w:rsidRPr="008B0A1E" w:rsidRDefault="0064082E" w:rsidP="001F7FDF">
      <w:pPr>
        <w:jc w:val="both"/>
        <w:rPr>
          <w:rFonts w:ascii="Times New Roman" w:hAnsi="Times New Roman"/>
        </w:rPr>
      </w:pPr>
    </w:p>
    <w:p w14:paraId="2D2BFF64" w14:textId="77777777" w:rsidR="0064082E" w:rsidRPr="008B0A1E" w:rsidRDefault="0064082E" w:rsidP="001F7FDF">
      <w:pPr>
        <w:jc w:val="both"/>
        <w:rPr>
          <w:rFonts w:ascii="Times New Roman" w:hAnsi="Times New Roman"/>
        </w:rPr>
      </w:pPr>
    </w:p>
    <w:p w14:paraId="0BF163BE" w14:textId="463AE663" w:rsidR="0064082E" w:rsidRPr="008B0A1E" w:rsidRDefault="00EB49D7" w:rsidP="007C2393">
      <w:pPr>
        <w:spacing w:line="480" w:lineRule="auto"/>
        <w:ind w:firstLine="720"/>
        <w:jc w:val="both"/>
        <w:rPr>
          <w:rFonts w:ascii="Times New Roman" w:hAnsi="Times New Roman"/>
        </w:rPr>
      </w:pPr>
      <w:r>
        <w:rPr>
          <w:rFonts w:ascii="Times New Roman" w:hAnsi="Times New Roman"/>
        </w:rPr>
        <w:t>It</w:t>
      </w:r>
      <w:r w:rsidR="0064082E" w:rsidRPr="008B0A1E">
        <w:rPr>
          <w:rFonts w:ascii="Times New Roman" w:hAnsi="Times New Roman"/>
        </w:rPr>
        <w:t xml:space="preserve"> is </w:t>
      </w:r>
      <w:r>
        <w:rPr>
          <w:rFonts w:ascii="Times New Roman" w:hAnsi="Times New Roman"/>
        </w:rPr>
        <w:t xml:space="preserve">also </w:t>
      </w:r>
      <w:r w:rsidR="0064082E" w:rsidRPr="008B0A1E">
        <w:rPr>
          <w:rFonts w:ascii="Times New Roman" w:hAnsi="Times New Roman"/>
        </w:rPr>
        <w:t>relatively uncommon for departments to share information about the fee rates charged by consultants within the department and/or w</w:t>
      </w:r>
      <w:r>
        <w:rPr>
          <w:rFonts w:ascii="Times New Roman" w:hAnsi="Times New Roman"/>
        </w:rPr>
        <w:t>ith oth</w:t>
      </w:r>
      <w:r w:rsidR="000543B8">
        <w:rPr>
          <w:rFonts w:ascii="Times New Roman" w:hAnsi="Times New Roman"/>
        </w:rPr>
        <w:t xml:space="preserve">er administrative units (Table </w:t>
      </w:r>
      <w:r w:rsidR="0009664C">
        <w:rPr>
          <w:rFonts w:ascii="Times New Roman" w:hAnsi="Times New Roman"/>
        </w:rPr>
        <w:t>10</w:t>
      </w:r>
      <w:r>
        <w:rPr>
          <w:rFonts w:ascii="Times New Roman" w:hAnsi="Times New Roman"/>
        </w:rPr>
        <w:t>).</w:t>
      </w:r>
    </w:p>
    <w:p w14:paraId="468C1D48" w14:textId="77777777" w:rsidR="0064082E" w:rsidRPr="008B0A1E" w:rsidRDefault="0064082E" w:rsidP="001F7FDF">
      <w:pPr>
        <w:jc w:val="both"/>
        <w:rPr>
          <w:rFonts w:ascii="Times New Roman" w:hAnsi="Times New Roman"/>
        </w:rPr>
      </w:pPr>
    </w:p>
    <w:p w14:paraId="084C21E9" w14:textId="5CA53423" w:rsidR="0064082E" w:rsidRPr="008B0A1E" w:rsidRDefault="000543B8" w:rsidP="001F7FDF">
      <w:pPr>
        <w:jc w:val="both"/>
        <w:rPr>
          <w:rFonts w:ascii="Times New Roman" w:hAnsi="Times New Roman"/>
          <w:i/>
        </w:rPr>
      </w:pPr>
      <w:r>
        <w:rPr>
          <w:rFonts w:ascii="Times New Roman" w:hAnsi="Times New Roman"/>
          <w:i/>
        </w:rPr>
        <w:t xml:space="preserve">Table </w:t>
      </w:r>
      <w:r w:rsidR="0009664C">
        <w:rPr>
          <w:rFonts w:ascii="Times New Roman" w:hAnsi="Times New Roman"/>
          <w:i/>
        </w:rPr>
        <w:t>10</w:t>
      </w:r>
      <w:r w:rsidR="0064082E" w:rsidRPr="008B0A1E">
        <w:rPr>
          <w:rFonts w:ascii="Times New Roman" w:hAnsi="Times New Roman"/>
          <w:i/>
        </w:rPr>
        <w:t xml:space="preserve"> Sharing of Consultants’ Fee Rates Within and Outside Departments</w:t>
      </w:r>
    </w:p>
    <w:tbl>
      <w:tblPr>
        <w:tblW w:w="5000" w:type="pct"/>
        <w:tblLook w:val="0000" w:firstRow="0" w:lastRow="0" w:firstColumn="0" w:lastColumn="0" w:noHBand="0" w:noVBand="0"/>
      </w:tblPr>
      <w:tblGrid>
        <w:gridCol w:w="1566"/>
        <w:gridCol w:w="2189"/>
        <w:gridCol w:w="2251"/>
        <w:gridCol w:w="1477"/>
        <w:gridCol w:w="1373"/>
      </w:tblGrid>
      <w:tr w:rsidR="0064082E" w:rsidRPr="008B0A1E" w14:paraId="4F9AD67E" w14:textId="77777777">
        <w:trPr>
          <w:trHeight w:val="500"/>
        </w:trPr>
        <w:tc>
          <w:tcPr>
            <w:tcW w:w="884" w:type="pct"/>
            <w:tcBorders>
              <w:top w:val="nil"/>
              <w:left w:val="nil"/>
              <w:bottom w:val="nil"/>
              <w:right w:val="nil"/>
            </w:tcBorders>
            <w:shd w:val="clear" w:color="auto" w:fill="DEE9F7"/>
            <w:vAlign w:val="center"/>
          </w:tcPr>
          <w:p w14:paraId="6BBD9772"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Always</w:t>
            </w:r>
          </w:p>
        </w:tc>
        <w:tc>
          <w:tcPr>
            <w:tcW w:w="1236" w:type="pct"/>
            <w:tcBorders>
              <w:top w:val="nil"/>
              <w:left w:val="nil"/>
              <w:bottom w:val="nil"/>
              <w:right w:val="nil"/>
            </w:tcBorders>
            <w:shd w:val="clear" w:color="auto" w:fill="DEE9F7"/>
            <w:vAlign w:val="center"/>
          </w:tcPr>
          <w:p w14:paraId="6367EC45"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Frequently</w:t>
            </w:r>
          </w:p>
        </w:tc>
        <w:tc>
          <w:tcPr>
            <w:tcW w:w="1271" w:type="pct"/>
            <w:tcBorders>
              <w:top w:val="nil"/>
              <w:left w:val="nil"/>
              <w:bottom w:val="nil"/>
              <w:right w:val="nil"/>
            </w:tcBorders>
            <w:shd w:val="clear" w:color="auto" w:fill="DEE9F7"/>
            <w:vAlign w:val="center"/>
          </w:tcPr>
          <w:p w14:paraId="24DFF6A6"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Sometimes</w:t>
            </w:r>
          </w:p>
        </w:tc>
        <w:tc>
          <w:tcPr>
            <w:tcW w:w="834" w:type="pct"/>
            <w:tcBorders>
              <w:top w:val="nil"/>
              <w:left w:val="nil"/>
              <w:bottom w:val="nil"/>
              <w:right w:val="nil"/>
            </w:tcBorders>
            <w:shd w:val="clear" w:color="auto" w:fill="DEE9F7"/>
            <w:vAlign w:val="center"/>
          </w:tcPr>
          <w:p w14:paraId="3F060124"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Rarely</w:t>
            </w:r>
          </w:p>
        </w:tc>
        <w:tc>
          <w:tcPr>
            <w:tcW w:w="775" w:type="pct"/>
            <w:tcBorders>
              <w:top w:val="nil"/>
              <w:left w:val="nil"/>
              <w:bottom w:val="nil"/>
              <w:right w:val="nil"/>
            </w:tcBorders>
            <w:shd w:val="clear" w:color="auto" w:fill="DEE9F7"/>
            <w:vAlign w:val="center"/>
          </w:tcPr>
          <w:p w14:paraId="64669CD0"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Never</w:t>
            </w:r>
          </w:p>
        </w:tc>
      </w:tr>
      <w:tr w:rsidR="0064082E" w:rsidRPr="008B0A1E" w14:paraId="1C259432" w14:textId="77777777">
        <w:trPr>
          <w:trHeight w:val="600"/>
        </w:trPr>
        <w:tc>
          <w:tcPr>
            <w:tcW w:w="884" w:type="pct"/>
            <w:tcBorders>
              <w:top w:val="nil"/>
              <w:left w:val="nil"/>
              <w:bottom w:val="nil"/>
              <w:right w:val="nil"/>
            </w:tcBorders>
            <w:shd w:val="clear" w:color="auto" w:fill="auto"/>
            <w:noWrap/>
            <w:vAlign w:val="center"/>
          </w:tcPr>
          <w:p w14:paraId="02236E14"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13.92%</w:t>
            </w:r>
          </w:p>
        </w:tc>
        <w:tc>
          <w:tcPr>
            <w:tcW w:w="1236" w:type="pct"/>
            <w:tcBorders>
              <w:top w:val="nil"/>
              <w:left w:val="nil"/>
              <w:bottom w:val="nil"/>
              <w:right w:val="nil"/>
            </w:tcBorders>
            <w:shd w:val="clear" w:color="auto" w:fill="auto"/>
            <w:noWrap/>
            <w:vAlign w:val="center"/>
          </w:tcPr>
          <w:p w14:paraId="2442A1A0"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11.39%</w:t>
            </w:r>
          </w:p>
        </w:tc>
        <w:tc>
          <w:tcPr>
            <w:tcW w:w="1271" w:type="pct"/>
            <w:tcBorders>
              <w:top w:val="nil"/>
              <w:left w:val="nil"/>
              <w:bottom w:val="nil"/>
              <w:right w:val="nil"/>
            </w:tcBorders>
            <w:shd w:val="clear" w:color="auto" w:fill="auto"/>
            <w:noWrap/>
            <w:vAlign w:val="center"/>
          </w:tcPr>
          <w:p w14:paraId="2B3F3EFC"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39.24%</w:t>
            </w:r>
          </w:p>
        </w:tc>
        <w:tc>
          <w:tcPr>
            <w:tcW w:w="834" w:type="pct"/>
            <w:tcBorders>
              <w:top w:val="nil"/>
              <w:left w:val="nil"/>
              <w:bottom w:val="nil"/>
              <w:right w:val="nil"/>
            </w:tcBorders>
            <w:shd w:val="clear" w:color="auto" w:fill="auto"/>
            <w:noWrap/>
            <w:vAlign w:val="center"/>
          </w:tcPr>
          <w:p w14:paraId="34601B72"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26.58%</w:t>
            </w:r>
          </w:p>
        </w:tc>
        <w:tc>
          <w:tcPr>
            <w:tcW w:w="775" w:type="pct"/>
            <w:tcBorders>
              <w:top w:val="nil"/>
              <w:left w:val="nil"/>
              <w:bottom w:val="nil"/>
              <w:right w:val="nil"/>
            </w:tcBorders>
            <w:shd w:val="clear" w:color="auto" w:fill="auto"/>
            <w:noWrap/>
            <w:vAlign w:val="center"/>
          </w:tcPr>
          <w:p w14:paraId="6609AC58"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8.86%</w:t>
            </w:r>
          </w:p>
        </w:tc>
      </w:tr>
    </w:tbl>
    <w:p w14:paraId="68B30F0A"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Q.48</w:t>
      </w:r>
    </w:p>
    <w:p w14:paraId="3854DA69" w14:textId="77777777" w:rsidR="00EB49D7" w:rsidRDefault="00EB49D7" w:rsidP="00652E46">
      <w:pPr>
        <w:spacing w:line="480" w:lineRule="auto"/>
        <w:jc w:val="both"/>
        <w:rPr>
          <w:rFonts w:ascii="Times New Roman" w:hAnsi="Times New Roman"/>
        </w:rPr>
      </w:pPr>
    </w:p>
    <w:p w14:paraId="2A4BB793" w14:textId="48CE0A31" w:rsidR="008050C6" w:rsidRDefault="008050C6" w:rsidP="00652E46">
      <w:pPr>
        <w:spacing w:line="480" w:lineRule="auto"/>
        <w:jc w:val="both"/>
        <w:rPr>
          <w:rFonts w:ascii="Times New Roman" w:hAnsi="Times New Roman"/>
        </w:rPr>
      </w:pPr>
      <w:r>
        <w:rPr>
          <w:rFonts w:ascii="Times New Roman" w:hAnsi="Times New Roman"/>
        </w:rPr>
        <w:t>Even in this case, when we disaggregate the answer by percentage of consulting budget that is supervised, we find that the managers with higher percentages</w:t>
      </w:r>
      <w:r w:rsidR="00A253F4">
        <w:rPr>
          <w:rFonts w:ascii="Times New Roman" w:hAnsi="Times New Roman"/>
        </w:rPr>
        <w:t xml:space="preserve"> tend to be</w:t>
      </w:r>
      <w:r>
        <w:rPr>
          <w:rFonts w:ascii="Times New Roman" w:hAnsi="Times New Roman"/>
        </w:rPr>
        <w:t xml:space="preserve"> more </w:t>
      </w:r>
      <w:r w:rsidR="00A253F4">
        <w:rPr>
          <w:rFonts w:ascii="Times New Roman" w:hAnsi="Times New Roman"/>
        </w:rPr>
        <w:t>likely to try and share this type of information</w:t>
      </w:r>
      <w:r w:rsidR="0009664C">
        <w:rPr>
          <w:rFonts w:ascii="Times New Roman" w:hAnsi="Times New Roman"/>
        </w:rPr>
        <w:t xml:space="preserve"> (see Table 11).</w:t>
      </w:r>
    </w:p>
    <w:p w14:paraId="48C107AE" w14:textId="77777777" w:rsidR="008050C6" w:rsidRDefault="008050C6" w:rsidP="00652E46">
      <w:pPr>
        <w:spacing w:line="480" w:lineRule="auto"/>
        <w:jc w:val="both"/>
        <w:rPr>
          <w:rFonts w:ascii="Times New Roman" w:hAnsi="Times New Roman"/>
        </w:rPr>
      </w:pPr>
    </w:p>
    <w:p w14:paraId="3050671E" w14:textId="77777777" w:rsidR="008050C6" w:rsidRDefault="0009664C" w:rsidP="00652E46">
      <w:pPr>
        <w:spacing w:line="480" w:lineRule="auto"/>
        <w:jc w:val="both"/>
        <w:rPr>
          <w:rFonts w:ascii="Times New Roman" w:hAnsi="Times New Roman"/>
        </w:rPr>
      </w:pPr>
      <w:r>
        <w:rPr>
          <w:rFonts w:ascii="Times New Roman" w:hAnsi="Times New Roman"/>
        </w:rPr>
        <w:t>Table 11 – Cross Deartmental Learning by Managerial Level</w:t>
      </w:r>
    </w:p>
    <w:tbl>
      <w:tblPr>
        <w:tblW w:w="5000" w:type="pct"/>
        <w:tblLook w:val="0000" w:firstRow="0" w:lastRow="0" w:firstColumn="0" w:lastColumn="0" w:noHBand="0" w:noVBand="0"/>
      </w:tblPr>
      <w:tblGrid>
        <w:gridCol w:w="3088"/>
        <w:gridCol w:w="1001"/>
        <w:gridCol w:w="894"/>
        <w:gridCol w:w="1006"/>
        <w:gridCol w:w="896"/>
        <w:gridCol w:w="1250"/>
        <w:gridCol w:w="721"/>
      </w:tblGrid>
      <w:tr w:rsidR="008050C6" w:rsidRPr="00F9684A" w14:paraId="262DECCB" w14:textId="77777777">
        <w:trPr>
          <w:trHeight w:val="500"/>
        </w:trPr>
        <w:tc>
          <w:tcPr>
            <w:tcW w:w="5000" w:type="pct"/>
            <w:gridSpan w:val="7"/>
            <w:tcBorders>
              <w:top w:val="nil"/>
              <w:left w:val="nil"/>
              <w:bottom w:val="nil"/>
              <w:right w:val="nil"/>
            </w:tcBorders>
            <w:shd w:val="clear" w:color="auto" w:fill="DDDDDD"/>
            <w:vAlign w:val="center"/>
          </w:tcPr>
          <w:p w14:paraId="1790B9A0" w14:textId="77777777" w:rsidR="008050C6" w:rsidRPr="00F9684A" w:rsidRDefault="008050C6" w:rsidP="008050C6">
            <w:pPr>
              <w:spacing w:before="2" w:after="2"/>
              <w:rPr>
                <w:rFonts w:ascii="Microsoft Sans Serif" w:hAnsi="Microsoft Sans Serif" w:cs="Microsoft Sans Serif"/>
                <w:b/>
                <w:bCs/>
                <w:sz w:val="20"/>
                <w:szCs w:val="20"/>
              </w:rPr>
            </w:pPr>
            <w:r>
              <w:rPr>
                <w:rStyle w:val="notranslate"/>
              </w:rPr>
              <w:t>Is knowledge on fee rates shared within and between departments?</w:t>
            </w:r>
          </w:p>
        </w:tc>
      </w:tr>
      <w:tr w:rsidR="008050C6" w:rsidRPr="00F9684A" w14:paraId="57A8AE9B" w14:textId="77777777">
        <w:trPr>
          <w:trHeight w:val="500"/>
        </w:trPr>
        <w:tc>
          <w:tcPr>
            <w:tcW w:w="1743" w:type="pct"/>
            <w:tcBorders>
              <w:top w:val="nil"/>
              <w:left w:val="nil"/>
              <w:bottom w:val="nil"/>
              <w:right w:val="nil"/>
            </w:tcBorders>
            <w:shd w:val="clear" w:color="auto" w:fill="DDDDDD"/>
            <w:noWrap/>
            <w:vAlign w:val="bottom"/>
          </w:tcPr>
          <w:p w14:paraId="4AE1EE07"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2144" w:type="pct"/>
            <w:gridSpan w:val="4"/>
            <w:tcBorders>
              <w:top w:val="nil"/>
              <w:left w:val="nil"/>
              <w:bottom w:val="nil"/>
              <w:right w:val="nil"/>
            </w:tcBorders>
            <w:shd w:val="clear" w:color="auto" w:fill="CCE5CD"/>
            <w:vAlign w:val="center"/>
          </w:tcPr>
          <w:p w14:paraId="58756AEB"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If so, what percentage of your Department's annual consulting budget do you supervise?</w:t>
            </w:r>
          </w:p>
        </w:tc>
        <w:tc>
          <w:tcPr>
            <w:tcW w:w="1113" w:type="pct"/>
            <w:gridSpan w:val="2"/>
            <w:tcBorders>
              <w:top w:val="nil"/>
              <w:left w:val="nil"/>
              <w:bottom w:val="nil"/>
              <w:right w:val="nil"/>
            </w:tcBorders>
            <w:shd w:val="clear" w:color="auto" w:fill="DDDDDD"/>
            <w:noWrap/>
            <w:vAlign w:val="bottom"/>
          </w:tcPr>
          <w:p w14:paraId="2B939430"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70F6EB21" w14:textId="77777777">
        <w:trPr>
          <w:trHeight w:val="600"/>
        </w:trPr>
        <w:tc>
          <w:tcPr>
            <w:tcW w:w="1743" w:type="pct"/>
            <w:tcBorders>
              <w:top w:val="nil"/>
              <w:left w:val="nil"/>
              <w:bottom w:val="nil"/>
              <w:right w:val="nil"/>
            </w:tcBorders>
            <w:shd w:val="clear" w:color="auto" w:fill="DEE9F7"/>
            <w:vAlign w:val="center"/>
          </w:tcPr>
          <w:p w14:paraId="7D3F60D9" w14:textId="77777777" w:rsidR="008050C6" w:rsidRPr="00F9684A" w:rsidRDefault="008050C6" w:rsidP="008050C6">
            <w:pPr>
              <w:spacing w:before="2" w:after="2"/>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Answer Options</w:t>
            </w:r>
          </w:p>
        </w:tc>
        <w:tc>
          <w:tcPr>
            <w:tcW w:w="565" w:type="pct"/>
            <w:tcBorders>
              <w:top w:val="nil"/>
              <w:left w:val="nil"/>
              <w:bottom w:val="nil"/>
              <w:right w:val="nil"/>
            </w:tcBorders>
            <w:shd w:val="clear" w:color="auto" w:fill="CCE5CD"/>
            <w:vAlign w:val="center"/>
          </w:tcPr>
          <w:p w14:paraId="03735E4B"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&lt;10 percent</w:t>
            </w:r>
          </w:p>
        </w:tc>
        <w:tc>
          <w:tcPr>
            <w:tcW w:w="505" w:type="pct"/>
            <w:tcBorders>
              <w:top w:val="nil"/>
              <w:left w:val="nil"/>
              <w:bottom w:val="nil"/>
              <w:right w:val="nil"/>
            </w:tcBorders>
            <w:shd w:val="clear" w:color="auto" w:fill="CCE5CD"/>
            <w:vAlign w:val="center"/>
          </w:tcPr>
          <w:p w14:paraId="7BF527A7"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10-25%</w:t>
            </w:r>
          </w:p>
        </w:tc>
        <w:tc>
          <w:tcPr>
            <w:tcW w:w="568" w:type="pct"/>
            <w:tcBorders>
              <w:top w:val="nil"/>
              <w:left w:val="nil"/>
              <w:bottom w:val="nil"/>
              <w:right w:val="nil"/>
            </w:tcBorders>
            <w:shd w:val="clear" w:color="auto" w:fill="CCE5CD"/>
            <w:vAlign w:val="center"/>
          </w:tcPr>
          <w:p w14:paraId="06FF2BA8"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25-75%</w:t>
            </w:r>
          </w:p>
        </w:tc>
        <w:tc>
          <w:tcPr>
            <w:tcW w:w="506" w:type="pct"/>
            <w:tcBorders>
              <w:top w:val="nil"/>
              <w:left w:val="nil"/>
              <w:bottom w:val="nil"/>
              <w:right w:val="nil"/>
            </w:tcBorders>
            <w:shd w:val="clear" w:color="auto" w:fill="CCE5CD"/>
            <w:vAlign w:val="center"/>
          </w:tcPr>
          <w:p w14:paraId="063A746C"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&gt;75%</w:t>
            </w:r>
          </w:p>
        </w:tc>
        <w:tc>
          <w:tcPr>
            <w:tcW w:w="1113" w:type="pct"/>
            <w:gridSpan w:val="2"/>
            <w:tcBorders>
              <w:top w:val="nil"/>
              <w:left w:val="nil"/>
              <w:bottom w:val="nil"/>
              <w:right w:val="nil"/>
            </w:tcBorders>
            <w:shd w:val="clear" w:color="auto" w:fill="CDD8E6"/>
            <w:vAlign w:val="center"/>
          </w:tcPr>
          <w:p w14:paraId="0B91030B"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Response Count</w:t>
            </w:r>
          </w:p>
          <w:p w14:paraId="552E6C20" w14:textId="77777777" w:rsidR="008050C6" w:rsidRPr="00F9684A" w:rsidRDefault="008050C6" w:rsidP="008050C6">
            <w:pPr>
              <w:spacing w:before="2" w:after="2"/>
              <w:jc w:val="center"/>
              <w:rPr>
                <w:rFonts w:ascii="Microsoft Sans Serif" w:hAnsi="Microsoft Sans Serif" w:cs="Microsoft Sans Serif"/>
                <w:b/>
                <w:bCs/>
                <w:color w:val="000000"/>
                <w:sz w:val="20"/>
                <w:szCs w:val="20"/>
              </w:rPr>
            </w:pPr>
            <w:r w:rsidRPr="00F9684A">
              <w:rPr>
                <w:rFonts w:ascii="Microsoft Sans Serif" w:hAnsi="Microsoft Sans Serif" w:cs="Microsoft Sans Serif"/>
                <w:b/>
                <w:bCs/>
                <w:color w:val="000000"/>
                <w:sz w:val="20"/>
                <w:szCs w:val="20"/>
              </w:rPr>
              <w:t> </w:t>
            </w:r>
          </w:p>
        </w:tc>
      </w:tr>
      <w:tr w:rsidR="008050C6" w:rsidRPr="00F9684A" w14:paraId="581AD48A" w14:textId="77777777">
        <w:trPr>
          <w:trHeight w:val="240"/>
        </w:trPr>
        <w:tc>
          <w:tcPr>
            <w:tcW w:w="1743" w:type="pct"/>
            <w:tcBorders>
              <w:top w:val="nil"/>
              <w:left w:val="nil"/>
              <w:bottom w:val="nil"/>
              <w:right w:val="nil"/>
            </w:tcBorders>
            <w:shd w:val="clear" w:color="auto" w:fill="EEEEEE"/>
            <w:noWrap/>
            <w:vAlign w:val="bottom"/>
          </w:tcPr>
          <w:p w14:paraId="4BA73338"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Always</w:t>
            </w:r>
          </w:p>
        </w:tc>
        <w:tc>
          <w:tcPr>
            <w:tcW w:w="565" w:type="pct"/>
            <w:tcBorders>
              <w:top w:val="nil"/>
              <w:left w:val="nil"/>
              <w:bottom w:val="nil"/>
              <w:right w:val="nil"/>
            </w:tcBorders>
            <w:shd w:val="clear" w:color="auto" w:fill="DEF7DF"/>
            <w:noWrap/>
            <w:vAlign w:val="center"/>
          </w:tcPr>
          <w:p w14:paraId="6864CA47"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11.4</w:t>
            </w:r>
            <w:r w:rsidRPr="00F9684A">
              <w:rPr>
                <w:rFonts w:ascii="Microsoft Sans Serif" w:hAnsi="Microsoft Sans Serif" w:cs="Microsoft Sans Serif"/>
                <w:sz w:val="20"/>
                <w:szCs w:val="20"/>
              </w:rPr>
              <w:t>%</w:t>
            </w:r>
          </w:p>
        </w:tc>
        <w:tc>
          <w:tcPr>
            <w:tcW w:w="505" w:type="pct"/>
            <w:tcBorders>
              <w:top w:val="nil"/>
              <w:left w:val="nil"/>
              <w:bottom w:val="nil"/>
              <w:right w:val="nil"/>
            </w:tcBorders>
            <w:shd w:val="clear" w:color="auto" w:fill="DEF7DF"/>
            <w:noWrap/>
            <w:vAlign w:val="center"/>
          </w:tcPr>
          <w:p w14:paraId="7DB0E4F3"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16.7</w:t>
            </w:r>
            <w:r w:rsidRPr="00F9684A">
              <w:rPr>
                <w:rFonts w:ascii="Microsoft Sans Serif" w:hAnsi="Microsoft Sans Serif" w:cs="Microsoft Sans Serif"/>
                <w:sz w:val="20"/>
                <w:szCs w:val="20"/>
              </w:rPr>
              <w:t>%</w:t>
            </w:r>
          </w:p>
        </w:tc>
        <w:tc>
          <w:tcPr>
            <w:tcW w:w="568" w:type="pct"/>
            <w:tcBorders>
              <w:top w:val="nil"/>
              <w:left w:val="nil"/>
              <w:bottom w:val="nil"/>
              <w:right w:val="nil"/>
            </w:tcBorders>
            <w:shd w:val="clear" w:color="auto" w:fill="DEF7DF"/>
            <w:noWrap/>
            <w:vAlign w:val="center"/>
          </w:tcPr>
          <w:p w14:paraId="064C3258"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34341B62"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20.0</w:t>
            </w:r>
            <w:r w:rsidRPr="00F9684A">
              <w:rPr>
                <w:rFonts w:ascii="Microsoft Sans Serif" w:hAnsi="Microsoft Sans Serif" w:cs="Microsoft Sans Serif"/>
                <w:sz w:val="20"/>
                <w:szCs w:val="20"/>
              </w:rPr>
              <w:t>%</w:t>
            </w:r>
          </w:p>
        </w:tc>
        <w:tc>
          <w:tcPr>
            <w:tcW w:w="1113" w:type="pct"/>
            <w:gridSpan w:val="2"/>
            <w:tcBorders>
              <w:top w:val="nil"/>
              <w:left w:val="nil"/>
              <w:bottom w:val="nil"/>
              <w:right w:val="nil"/>
            </w:tcBorders>
            <w:shd w:val="clear" w:color="auto" w:fill="EEEEEE"/>
            <w:noWrap/>
            <w:vAlign w:val="bottom"/>
          </w:tcPr>
          <w:p w14:paraId="4E0B4808"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p w14:paraId="21D7350C"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6568AFD6" w14:textId="77777777">
        <w:trPr>
          <w:trHeight w:val="240"/>
        </w:trPr>
        <w:tc>
          <w:tcPr>
            <w:tcW w:w="1743" w:type="pct"/>
            <w:tcBorders>
              <w:top w:val="nil"/>
              <w:left w:val="nil"/>
              <w:bottom w:val="nil"/>
              <w:right w:val="nil"/>
            </w:tcBorders>
            <w:shd w:val="clear" w:color="auto" w:fill="EEEEEE"/>
            <w:noWrap/>
            <w:vAlign w:val="bottom"/>
          </w:tcPr>
          <w:p w14:paraId="1858A167"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Frequently</w:t>
            </w:r>
          </w:p>
        </w:tc>
        <w:tc>
          <w:tcPr>
            <w:tcW w:w="565" w:type="pct"/>
            <w:tcBorders>
              <w:top w:val="nil"/>
              <w:left w:val="nil"/>
              <w:bottom w:val="nil"/>
              <w:right w:val="nil"/>
            </w:tcBorders>
            <w:shd w:val="clear" w:color="auto" w:fill="DEF7DF"/>
            <w:noWrap/>
            <w:vAlign w:val="center"/>
          </w:tcPr>
          <w:p w14:paraId="1B34BC25"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4.5</w:t>
            </w:r>
            <w:r w:rsidRPr="00F9684A">
              <w:rPr>
                <w:rFonts w:ascii="Microsoft Sans Serif" w:hAnsi="Microsoft Sans Serif" w:cs="Microsoft Sans Serif"/>
                <w:sz w:val="20"/>
                <w:szCs w:val="20"/>
              </w:rPr>
              <w:t>%</w:t>
            </w:r>
          </w:p>
        </w:tc>
        <w:tc>
          <w:tcPr>
            <w:tcW w:w="505" w:type="pct"/>
            <w:tcBorders>
              <w:top w:val="nil"/>
              <w:left w:val="nil"/>
              <w:bottom w:val="nil"/>
              <w:right w:val="nil"/>
            </w:tcBorders>
            <w:shd w:val="clear" w:color="auto" w:fill="DEF7DF"/>
            <w:noWrap/>
            <w:vAlign w:val="center"/>
          </w:tcPr>
          <w:p w14:paraId="5122951B"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68" w:type="pct"/>
            <w:tcBorders>
              <w:top w:val="nil"/>
              <w:left w:val="nil"/>
              <w:bottom w:val="nil"/>
              <w:right w:val="nil"/>
            </w:tcBorders>
            <w:shd w:val="clear" w:color="auto" w:fill="DEF7DF"/>
            <w:noWrap/>
            <w:vAlign w:val="center"/>
          </w:tcPr>
          <w:p w14:paraId="36BF1975"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5C405F84"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40.0</w:t>
            </w:r>
            <w:r w:rsidRPr="00F9684A">
              <w:rPr>
                <w:rFonts w:ascii="Microsoft Sans Serif" w:hAnsi="Microsoft Sans Serif" w:cs="Microsoft Sans Serif"/>
                <w:sz w:val="20"/>
                <w:szCs w:val="20"/>
              </w:rPr>
              <w:t>%</w:t>
            </w:r>
          </w:p>
        </w:tc>
        <w:tc>
          <w:tcPr>
            <w:tcW w:w="706" w:type="pct"/>
            <w:tcBorders>
              <w:top w:val="nil"/>
              <w:left w:val="nil"/>
              <w:bottom w:val="nil"/>
              <w:right w:val="nil"/>
            </w:tcBorders>
            <w:shd w:val="clear" w:color="auto" w:fill="EEEEEE"/>
            <w:noWrap/>
            <w:vAlign w:val="bottom"/>
          </w:tcPr>
          <w:p w14:paraId="2C9D25C5"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23BEAFBD"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4627982E" w14:textId="77777777">
        <w:trPr>
          <w:trHeight w:val="240"/>
        </w:trPr>
        <w:tc>
          <w:tcPr>
            <w:tcW w:w="1743" w:type="pct"/>
            <w:tcBorders>
              <w:top w:val="nil"/>
              <w:left w:val="nil"/>
              <w:bottom w:val="nil"/>
              <w:right w:val="nil"/>
            </w:tcBorders>
            <w:shd w:val="clear" w:color="auto" w:fill="EEEEEE"/>
            <w:noWrap/>
            <w:vAlign w:val="bottom"/>
          </w:tcPr>
          <w:p w14:paraId="7C2E9E33"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Sometimes</w:t>
            </w:r>
          </w:p>
        </w:tc>
        <w:tc>
          <w:tcPr>
            <w:tcW w:w="565" w:type="pct"/>
            <w:tcBorders>
              <w:top w:val="nil"/>
              <w:left w:val="nil"/>
              <w:bottom w:val="nil"/>
              <w:right w:val="nil"/>
            </w:tcBorders>
            <w:shd w:val="clear" w:color="auto" w:fill="DEF7DF"/>
            <w:noWrap/>
            <w:vAlign w:val="center"/>
          </w:tcPr>
          <w:p w14:paraId="2377F53A"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54.5</w:t>
            </w:r>
            <w:r w:rsidRPr="00F9684A">
              <w:rPr>
                <w:rFonts w:ascii="Microsoft Sans Serif" w:hAnsi="Microsoft Sans Serif" w:cs="Microsoft Sans Serif"/>
                <w:sz w:val="20"/>
                <w:szCs w:val="20"/>
              </w:rPr>
              <w:t>%</w:t>
            </w:r>
          </w:p>
        </w:tc>
        <w:tc>
          <w:tcPr>
            <w:tcW w:w="505" w:type="pct"/>
            <w:tcBorders>
              <w:top w:val="nil"/>
              <w:left w:val="nil"/>
              <w:bottom w:val="nil"/>
              <w:right w:val="nil"/>
            </w:tcBorders>
            <w:shd w:val="clear" w:color="auto" w:fill="DEF7DF"/>
            <w:noWrap/>
            <w:vAlign w:val="center"/>
          </w:tcPr>
          <w:p w14:paraId="4C077EB9"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16.7</w:t>
            </w:r>
            <w:r w:rsidRPr="00F9684A">
              <w:rPr>
                <w:rFonts w:ascii="Microsoft Sans Serif" w:hAnsi="Microsoft Sans Serif" w:cs="Microsoft Sans Serif"/>
                <w:sz w:val="20"/>
                <w:szCs w:val="20"/>
              </w:rPr>
              <w:t>%</w:t>
            </w:r>
          </w:p>
        </w:tc>
        <w:tc>
          <w:tcPr>
            <w:tcW w:w="568" w:type="pct"/>
            <w:tcBorders>
              <w:top w:val="nil"/>
              <w:left w:val="nil"/>
              <w:bottom w:val="nil"/>
              <w:right w:val="nil"/>
            </w:tcBorders>
            <w:shd w:val="clear" w:color="auto" w:fill="DEF7DF"/>
            <w:noWrap/>
            <w:vAlign w:val="center"/>
          </w:tcPr>
          <w:p w14:paraId="56955214"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397A9F0F"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0.00</w:t>
            </w:r>
            <w:r w:rsidRPr="00F9684A">
              <w:rPr>
                <w:rFonts w:ascii="Microsoft Sans Serif" w:hAnsi="Microsoft Sans Serif" w:cs="Microsoft Sans Serif"/>
                <w:sz w:val="20"/>
                <w:szCs w:val="20"/>
              </w:rPr>
              <w:t>%</w:t>
            </w:r>
          </w:p>
        </w:tc>
        <w:tc>
          <w:tcPr>
            <w:tcW w:w="706" w:type="pct"/>
            <w:tcBorders>
              <w:top w:val="nil"/>
              <w:left w:val="nil"/>
              <w:bottom w:val="nil"/>
              <w:right w:val="nil"/>
            </w:tcBorders>
            <w:shd w:val="clear" w:color="auto" w:fill="EEEEEE"/>
            <w:noWrap/>
            <w:vAlign w:val="bottom"/>
          </w:tcPr>
          <w:p w14:paraId="3034DB77"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76D435F9"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675959AB" w14:textId="77777777">
        <w:trPr>
          <w:trHeight w:val="240"/>
        </w:trPr>
        <w:tc>
          <w:tcPr>
            <w:tcW w:w="1743" w:type="pct"/>
            <w:tcBorders>
              <w:top w:val="nil"/>
              <w:left w:val="nil"/>
              <w:bottom w:val="nil"/>
              <w:right w:val="nil"/>
            </w:tcBorders>
            <w:shd w:val="clear" w:color="auto" w:fill="EEEEEE"/>
            <w:noWrap/>
            <w:vAlign w:val="bottom"/>
          </w:tcPr>
          <w:p w14:paraId="7805E6F6"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Rarely</w:t>
            </w:r>
          </w:p>
        </w:tc>
        <w:tc>
          <w:tcPr>
            <w:tcW w:w="565" w:type="pct"/>
            <w:tcBorders>
              <w:top w:val="nil"/>
              <w:left w:val="nil"/>
              <w:bottom w:val="nil"/>
              <w:right w:val="nil"/>
            </w:tcBorders>
            <w:shd w:val="clear" w:color="auto" w:fill="DEF7DF"/>
            <w:noWrap/>
            <w:vAlign w:val="center"/>
          </w:tcPr>
          <w:p w14:paraId="157A6BCC"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22.7</w:t>
            </w:r>
            <w:r w:rsidRPr="00F9684A">
              <w:rPr>
                <w:rFonts w:ascii="Microsoft Sans Serif" w:hAnsi="Microsoft Sans Serif" w:cs="Microsoft Sans Serif"/>
                <w:sz w:val="20"/>
                <w:szCs w:val="20"/>
              </w:rPr>
              <w:t>%</w:t>
            </w:r>
          </w:p>
        </w:tc>
        <w:tc>
          <w:tcPr>
            <w:tcW w:w="505" w:type="pct"/>
            <w:tcBorders>
              <w:top w:val="nil"/>
              <w:left w:val="nil"/>
              <w:bottom w:val="nil"/>
              <w:right w:val="nil"/>
            </w:tcBorders>
            <w:shd w:val="clear" w:color="auto" w:fill="DEF7DF"/>
            <w:noWrap/>
            <w:vAlign w:val="center"/>
          </w:tcPr>
          <w:p w14:paraId="1486317A"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50.0</w:t>
            </w:r>
            <w:r w:rsidRPr="00F9684A">
              <w:rPr>
                <w:rFonts w:ascii="Microsoft Sans Serif" w:hAnsi="Microsoft Sans Serif" w:cs="Microsoft Sans Serif"/>
                <w:sz w:val="20"/>
                <w:szCs w:val="20"/>
              </w:rPr>
              <w:t>%</w:t>
            </w:r>
          </w:p>
        </w:tc>
        <w:tc>
          <w:tcPr>
            <w:tcW w:w="568" w:type="pct"/>
            <w:tcBorders>
              <w:top w:val="nil"/>
              <w:left w:val="nil"/>
              <w:bottom w:val="nil"/>
              <w:right w:val="nil"/>
            </w:tcBorders>
            <w:shd w:val="clear" w:color="auto" w:fill="DEF7DF"/>
            <w:noWrap/>
            <w:vAlign w:val="center"/>
          </w:tcPr>
          <w:p w14:paraId="7B24C9EB"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100.0</w:t>
            </w:r>
            <w:r w:rsidRPr="00F9684A">
              <w:rPr>
                <w:rFonts w:ascii="Microsoft Sans Serif" w:hAnsi="Microsoft Sans Serif" w:cs="Microsoft Sans Serif"/>
                <w:sz w:val="20"/>
                <w:szCs w:val="20"/>
              </w:rPr>
              <w:t>%</w:t>
            </w:r>
          </w:p>
        </w:tc>
        <w:tc>
          <w:tcPr>
            <w:tcW w:w="506" w:type="pct"/>
            <w:tcBorders>
              <w:top w:val="nil"/>
              <w:left w:val="nil"/>
              <w:bottom w:val="nil"/>
              <w:right w:val="nil"/>
            </w:tcBorders>
            <w:shd w:val="clear" w:color="auto" w:fill="DEF7DF"/>
            <w:noWrap/>
            <w:vAlign w:val="center"/>
          </w:tcPr>
          <w:p w14:paraId="4D6329D7"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20.0</w:t>
            </w:r>
            <w:r w:rsidRPr="00F9684A">
              <w:rPr>
                <w:rFonts w:ascii="Microsoft Sans Serif" w:hAnsi="Microsoft Sans Serif" w:cs="Microsoft Sans Serif"/>
                <w:sz w:val="20"/>
                <w:szCs w:val="20"/>
              </w:rPr>
              <w:t>%</w:t>
            </w:r>
          </w:p>
        </w:tc>
        <w:tc>
          <w:tcPr>
            <w:tcW w:w="706" w:type="pct"/>
            <w:tcBorders>
              <w:top w:val="nil"/>
              <w:left w:val="nil"/>
              <w:bottom w:val="nil"/>
              <w:right w:val="nil"/>
            </w:tcBorders>
            <w:shd w:val="clear" w:color="auto" w:fill="EEEEEE"/>
            <w:noWrap/>
            <w:vAlign w:val="bottom"/>
          </w:tcPr>
          <w:p w14:paraId="7049057A"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3C641A7F"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7F91BD48" w14:textId="77777777">
        <w:trPr>
          <w:trHeight w:val="240"/>
        </w:trPr>
        <w:tc>
          <w:tcPr>
            <w:tcW w:w="1743" w:type="pct"/>
            <w:tcBorders>
              <w:top w:val="nil"/>
              <w:left w:val="nil"/>
              <w:bottom w:val="nil"/>
              <w:right w:val="nil"/>
            </w:tcBorders>
            <w:shd w:val="clear" w:color="auto" w:fill="EEEEEE"/>
            <w:noWrap/>
            <w:vAlign w:val="bottom"/>
          </w:tcPr>
          <w:p w14:paraId="69D1E5A9"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Never</w:t>
            </w:r>
          </w:p>
        </w:tc>
        <w:tc>
          <w:tcPr>
            <w:tcW w:w="565" w:type="pct"/>
            <w:tcBorders>
              <w:top w:val="nil"/>
              <w:left w:val="nil"/>
              <w:bottom w:val="nil"/>
              <w:right w:val="nil"/>
            </w:tcBorders>
            <w:shd w:val="clear" w:color="auto" w:fill="DEF7DF"/>
            <w:noWrap/>
            <w:vAlign w:val="center"/>
          </w:tcPr>
          <w:p w14:paraId="34647DDB"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6.8</w:t>
            </w:r>
            <w:r w:rsidRPr="00F9684A">
              <w:rPr>
                <w:rFonts w:ascii="Microsoft Sans Serif" w:hAnsi="Microsoft Sans Serif" w:cs="Microsoft Sans Serif"/>
                <w:sz w:val="20"/>
                <w:szCs w:val="20"/>
              </w:rPr>
              <w:t>%</w:t>
            </w:r>
          </w:p>
        </w:tc>
        <w:tc>
          <w:tcPr>
            <w:tcW w:w="505" w:type="pct"/>
            <w:tcBorders>
              <w:top w:val="nil"/>
              <w:left w:val="nil"/>
              <w:bottom w:val="nil"/>
              <w:right w:val="nil"/>
            </w:tcBorders>
            <w:shd w:val="clear" w:color="auto" w:fill="DEF7DF"/>
            <w:noWrap/>
            <w:vAlign w:val="center"/>
          </w:tcPr>
          <w:p w14:paraId="0E3CFEE6"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16.7</w:t>
            </w:r>
            <w:r w:rsidRPr="00F9684A">
              <w:rPr>
                <w:rFonts w:ascii="Microsoft Sans Serif" w:hAnsi="Microsoft Sans Serif" w:cs="Microsoft Sans Serif"/>
                <w:sz w:val="20"/>
                <w:szCs w:val="20"/>
              </w:rPr>
              <w:t>%</w:t>
            </w:r>
          </w:p>
        </w:tc>
        <w:tc>
          <w:tcPr>
            <w:tcW w:w="568" w:type="pct"/>
            <w:tcBorders>
              <w:top w:val="nil"/>
              <w:left w:val="nil"/>
              <w:bottom w:val="nil"/>
              <w:right w:val="nil"/>
            </w:tcBorders>
            <w:shd w:val="clear" w:color="auto" w:fill="DEF7DF"/>
            <w:noWrap/>
            <w:vAlign w:val="center"/>
          </w:tcPr>
          <w:p w14:paraId="550B63D8"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506" w:type="pct"/>
            <w:tcBorders>
              <w:top w:val="nil"/>
              <w:left w:val="nil"/>
              <w:bottom w:val="nil"/>
              <w:right w:val="nil"/>
            </w:tcBorders>
            <w:shd w:val="clear" w:color="auto" w:fill="DEF7DF"/>
            <w:noWrap/>
            <w:vAlign w:val="center"/>
          </w:tcPr>
          <w:p w14:paraId="31022857"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0.00%</w:t>
            </w:r>
          </w:p>
        </w:tc>
        <w:tc>
          <w:tcPr>
            <w:tcW w:w="706" w:type="pct"/>
            <w:tcBorders>
              <w:top w:val="nil"/>
              <w:left w:val="nil"/>
              <w:bottom w:val="nil"/>
              <w:right w:val="nil"/>
            </w:tcBorders>
            <w:shd w:val="clear" w:color="auto" w:fill="EEEEEE"/>
            <w:noWrap/>
            <w:vAlign w:val="bottom"/>
          </w:tcPr>
          <w:p w14:paraId="3AD26766"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c>
          <w:tcPr>
            <w:tcW w:w="407" w:type="pct"/>
            <w:tcBorders>
              <w:top w:val="nil"/>
              <w:left w:val="nil"/>
              <w:bottom w:val="nil"/>
              <w:right w:val="nil"/>
            </w:tcBorders>
            <w:shd w:val="clear" w:color="auto" w:fill="DEE9F7"/>
            <w:noWrap/>
            <w:vAlign w:val="bottom"/>
          </w:tcPr>
          <w:p w14:paraId="34D58D12"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r w:rsidR="008050C6" w:rsidRPr="00F9684A" w14:paraId="17CD639E" w14:textId="77777777" w:rsidTr="00E63379">
        <w:trPr>
          <w:trHeight w:val="240"/>
        </w:trPr>
        <w:tc>
          <w:tcPr>
            <w:tcW w:w="1743" w:type="pct"/>
            <w:tcBorders>
              <w:top w:val="nil"/>
              <w:left w:val="nil"/>
              <w:bottom w:val="nil"/>
              <w:right w:val="nil"/>
            </w:tcBorders>
            <w:shd w:val="clear" w:color="auto" w:fill="DDDDDD"/>
            <w:noWrap/>
            <w:vAlign w:val="center"/>
          </w:tcPr>
          <w:p w14:paraId="151779E1" w14:textId="77777777" w:rsidR="008050C6" w:rsidRPr="000917B5" w:rsidRDefault="00D454BD" w:rsidP="008050C6">
            <w:pPr>
              <w:spacing w:before="2" w:after="2"/>
              <w:rPr>
                <w:rFonts w:ascii="Microsoft Sans Serif" w:hAnsi="Microsoft Sans Serif" w:cs="Microsoft Sans Serif"/>
                <w:sz w:val="20"/>
                <w:szCs w:val="20"/>
              </w:rPr>
            </w:pPr>
            <w:r w:rsidRPr="00E63379">
              <w:rPr>
                <w:rFonts w:cs="Microsoft Sans Serif"/>
                <w:sz w:val="20"/>
              </w:rPr>
              <w:t>Rating average</w:t>
            </w:r>
            <w:r w:rsidRPr="00E63379">
              <w:rPr>
                <w:rFonts w:cs="Microsoft Sans Serif"/>
                <w:sz w:val="20"/>
              </w:rPr>
              <w:br/>
              <w:t> </w:t>
            </w:r>
          </w:p>
        </w:tc>
        <w:tc>
          <w:tcPr>
            <w:tcW w:w="565" w:type="pct"/>
            <w:tcBorders>
              <w:top w:val="nil"/>
              <w:left w:val="nil"/>
              <w:bottom w:val="nil"/>
              <w:right w:val="nil"/>
            </w:tcBorders>
            <w:shd w:val="clear" w:color="auto" w:fill="C0C0C0"/>
            <w:noWrap/>
            <w:vAlign w:val="center"/>
          </w:tcPr>
          <w:p w14:paraId="40AB76FE" w14:textId="77777777" w:rsidR="008050C6" w:rsidRPr="000917B5" w:rsidRDefault="00D454BD" w:rsidP="008050C6">
            <w:pPr>
              <w:spacing w:before="2" w:after="2"/>
              <w:jc w:val="center"/>
              <w:rPr>
                <w:rFonts w:ascii="Microsoft Sans Serif" w:hAnsi="Microsoft Sans Serif" w:cs="Microsoft Sans Serif"/>
                <w:sz w:val="20"/>
                <w:szCs w:val="20"/>
              </w:rPr>
            </w:pPr>
            <w:r w:rsidRPr="00E63379">
              <w:rPr>
                <w:rFonts w:cs="Microsoft Sans Serif"/>
                <w:sz w:val="20"/>
              </w:rPr>
              <w:t>2.91</w:t>
            </w:r>
            <w:r w:rsidRPr="00E63379">
              <w:rPr>
                <w:rFonts w:cs="Microsoft Sans Serif"/>
                <w:sz w:val="20"/>
              </w:rPr>
              <w:br/>
              <w:t>(44)</w:t>
            </w:r>
          </w:p>
        </w:tc>
        <w:tc>
          <w:tcPr>
            <w:tcW w:w="505" w:type="pct"/>
            <w:tcBorders>
              <w:top w:val="nil"/>
              <w:left w:val="nil"/>
              <w:bottom w:val="nil"/>
              <w:right w:val="nil"/>
            </w:tcBorders>
            <w:shd w:val="clear" w:color="auto" w:fill="C0C0C0"/>
            <w:noWrap/>
            <w:vAlign w:val="center"/>
          </w:tcPr>
          <w:p w14:paraId="0D00C857" w14:textId="77777777" w:rsidR="008050C6" w:rsidRPr="000917B5" w:rsidRDefault="00D454BD" w:rsidP="008050C6">
            <w:pPr>
              <w:spacing w:before="2" w:after="2"/>
              <w:jc w:val="center"/>
              <w:rPr>
                <w:rFonts w:ascii="Microsoft Sans Serif" w:hAnsi="Microsoft Sans Serif" w:cs="Microsoft Sans Serif"/>
                <w:sz w:val="20"/>
                <w:szCs w:val="20"/>
              </w:rPr>
            </w:pPr>
            <w:r w:rsidRPr="00E63379">
              <w:rPr>
                <w:rFonts w:cs="Microsoft Sans Serif"/>
                <w:sz w:val="20"/>
              </w:rPr>
              <w:t>2.50</w:t>
            </w:r>
            <w:r w:rsidRPr="00E63379">
              <w:rPr>
                <w:rFonts w:cs="Microsoft Sans Serif"/>
                <w:sz w:val="20"/>
              </w:rPr>
              <w:br/>
              <w:t>(6)</w:t>
            </w:r>
          </w:p>
        </w:tc>
        <w:tc>
          <w:tcPr>
            <w:tcW w:w="568" w:type="pct"/>
            <w:tcBorders>
              <w:top w:val="nil"/>
              <w:left w:val="nil"/>
              <w:bottom w:val="nil"/>
              <w:right w:val="nil"/>
            </w:tcBorders>
            <w:shd w:val="clear" w:color="auto" w:fill="C0C0C0"/>
            <w:noWrap/>
            <w:vAlign w:val="center"/>
          </w:tcPr>
          <w:p w14:paraId="721271D1" w14:textId="77777777" w:rsidR="008050C6" w:rsidRPr="000917B5" w:rsidRDefault="00D454BD" w:rsidP="008050C6">
            <w:pPr>
              <w:spacing w:before="2" w:after="2"/>
              <w:jc w:val="center"/>
              <w:rPr>
                <w:rFonts w:ascii="Microsoft Sans Serif" w:hAnsi="Microsoft Sans Serif" w:cs="Microsoft Sans Serif"/>
                <w:sz w:val="20"/>
                <w:szCs w:val="20"/>
              </w:rPr>
            </w:pPr>
            <w:r w:rsidRPr="00E63379">
              <w:rPr>
                <w:rFonts w:cs="Microsoft Sans Serif"/>
                <w:sz w:val="20"/>
              </w:rPr>
              <w:t>2.00</w:t>
            </w:r>
            <w:r w:rsidRPr="00E63379">
              <w:rPr>
                <w:rFonts w:cs="Microsoft Sans Serif"/>
                <w:sz w:val="20"/>
              </w:rPr>
              <w:br/>
              <w:t>(1)</w:t>
            </w:r>
          </w:p>
        </w:tc>
        <w:tc>
          <w:tcPr>
            <w:tcW w:w="506" w:type="pct"/>
            <w:tcBorders>
              <w:top w:val="nil"/>
              <w:left w:val="nil"/>
              <w:bottom w:val="nil"/>
              <w:right w:val="nil"/>
            </w:tcBorders>
            <w:shd w:val="clear" w:color="auto" w:fill="C0C0C0"/>
            <w:noWrap/>
            <w:vAlign w:val="center"/>
          </w:tcPr>
          <w:p w14:paraId="48A55251" w14:textId="77777777" w:rsidR="008050C6" w:rsidRPr="000917B5" w:rsidRDefault="00D454BD" w:rsidP="008050C6">
            <w:pPr>
              <w:spacing w:before="2" w:after="2"/>
              <w:jc w:val="center"/>
              <w:rPr>
                <w:rFonts w:ascii="Microsoft Sans Serif" w:hAnsi="Microsoft Sans Serif" w:cs="Microsoft Sans Serif"/>
                <w:sz w:val="20"/>
                <w:szCs w:val="20"/>
              </w:rPr>
            </w:pPr>
            <w:r w:rsidRPr="00E63379">
              <w:rPr>
                <w:rFonts w:cs="Microsoft Sans Serif"/>
                <w:sz w:val="20"/>
              </w:rPr>
              <w:t>3.40</w:t>
            </w:r>
            <w:r w:rsidRPr="00E63379">
              <w:rPr>
                <w:rFonts w:cs="Microsoft Sans Serif"/>
                <w:sz w:val="20"/>
              </w:rPr>
              <w:br/>
              <w:t>(5)</w:t>
            </w:r>
          </w:p>
        </w:tc>
        <w:tc>
          <w:tcPr>
            <w:tcW w:w="706" w:type="pct"/>
            <w:tcBorders>
              <w:top w:val="nil"/>
              <w:left w:val="nil"/>
              <w:bottom w:val="nil"/>
              <w:right w:val="nil"/>
            </w:tcBorders>
            <w:shd w:val="clear" w:color="auto" w:fill="DDDDDD"/>
            <w:noWrap/>
            <w:vAlign w:val="center"/>
          </w:tcPr>
          <w:p w14:paraId="0953BCC7" w14:textId="77777777" w:rsidR="008050C6" w:rsidRPr="000917B5" w:rsidRDefault="00D454BD" w:rsidP="008050C6">
            <w:pPr>
              <w:spacing w:before="2" w:after="2"/>
              <w:jc w:val="center"/>
              <w:rPr>
                <w:rFonts w:cs="Microsoft Sans Serif"/>
                <w:sz w:val="20"/>
              </w:rPr>
            </w:pPr>
            <w:r w:rsidRPr="00E63379">
              <w:rPr>
                <w:rFonts w:cs="Microsoft Sans Serif"/>
                <w:sz w:val="20"/>
              </w:rPr>
              <w:t>2.89</w:t>
            </w:r>
            <w:r w:rsidR="008050C6" w:rsidRPr="000917B5">
              <w:rPr>
                <w:rFonts w:cs="Microsoft Sans Serif"/>
                <w:sz w:val="20"/>
              </w:rPr>
              <w:t xml:space="preserve"> </w:t>
            </w:r>
          </w:p>
          <w:p w14:paraId="6C7DDF7A" w14:textId="77777777" w:rsidR="008050C6" w:rsidRPr="000917B5" w:rsidRDefault="00DD7ED2" w:rsidP="008050C6">
            <w:pPr>
              <w:spacing w:before="2" w:after="2"/>
              <w:jc w:val="center"/>
              <w:rPr>
                <w:rFonts w:ascii="Microsoft Sans Serif" w:hAnsi="Microsoft Sans Serif" w:cs="Microsoft Sans Serif"/>
                <w:sz w:val="20"/>
                <w:szCs w:val="20"/>
              </w:rPr>
            </w:pPr>
            <w:r>
              <w:rPr>
                <w:rFonts w:cs="Microsoft Sans Serif"/>
                <w:sz w:val="20"/>
              </w:rPr>
              <w:t>(56)</w:t>
            </w:r>
          </w:p>
        </w:tc>
        <w:tc>
          <w:tcPr>
            <w:tcW w:w="407" w:type="pct"/>
            <w:tcBorders>
              <w:top w:val="nil"/>
              <w:left w:val="nil"/>
              <w:bottom w:val="nil"/>
              <w:right w:val="nil"/>
            </w:tcBorders>
            <w:shd w:val="clear" w:color="auto" w:fill="CDD8E6"/>
            <w:noWrap/>
            <w:vAlign w:val="center"/>
          </w:tcPr>
          <w:p w14:paraId="33F34C93" w14:textId="77777777" w:rsidR="008050C6" w:rsidRPr="00F9684A" w:rsidRDefault="008050C6" w:rsidP="008050C6">
            <w:pPr>
              <w:spacing w:before="2" w:after="2"/>
              <w:jc w:val="center"/>
              <w:rPr>
                <w:rFonts w:ascii="Microsoft Sans Serif" w:hAnsi="Microsoft Sans Serif" w:cs="Microsoft Sans Serif"/>
                <w:sz w:val="20"/>
                <w:szCs w:val="20"/>
              </w:rPr>
            </w:pPr>
          </w:p>
        </w:tc>
      </w:tr>
      <w:tr w:rsidR="008050C6" w:rsidRPr="00F9684A" w14:paraId="4868B96E" w14:textId="77777777">
        <w:trPr>
          <w:trHeight w:val="240"/>
        </w:trPr>
        <w:tc>
          <w:tcPr>
            <w:tcW w:w="1743" w:type="pct"/>
            <w:tcBorders>
              <w:top w:val="nil"/>
              <w:left w:val="nil"/>
              <w:bottom w:val="nil"/>
              <w:right w:val="nil"/>
            </w:tcBorders>
            <w:shd w:val="clear" w:color="auto" w:fill="DDDDDD"/>
            <w:noWrap/>
            <w:vAlign w:val="bottom"/>
          </w:tcPr>
          <w:p w14:paraId="3D73716D" w14:textId="77777777" w:rsidR="008050C6" w:rsidRPr="00F9684A" w:rsidRDefault="008050C6" w:rsidP="008050C6">
            <w:pPr>
              <w:spacing w:before="2" w:after="2"/>
              <w:rPr>
                <w:rFonts w:ascii="Microsoft Sans Serif" w:hAnsi="Microsoft Sans Serif" w:cs="Microsoft Sans Serif"/>
                <w:sz w:val="20"/>
                <w:szCs w:val="20"/>
              </w:rPr>
            </w:pPr>
            <w:r w:rsidRPr="00F9684A">
              <w:rPr>
                <w:rFonts w:ascii="Microsoft Sans Serif" w:hAnsi="Microsoft Sans Serif" w:cs="Microsoft Sans Serif"/>
                <w:sz w:val="20"/>
                <w:szCs w:val="20"/>
              </w:rPr>
              <w:t> </w:t>
            </w:r>
            <w:r w:rsidR="000917B5">
              <w:rPr>
                <w:rFonts w:ascii="Microsoft Sans Serif" w:hAnsi="Microsoft Sans Serif" w:cs="Microsoft Sans Serif"/>
                <w:sz w:val="20"/>
                <w:szCs w:val="20"/>
              </w:rPr>
              <w:t>Response Count</w:t>
            </w:r>
          </w:p>
        </w:tc>
        <w:tc>
          <w:tcPr>
            <w:tcW w:w="565" w:type="pct"/>
            <w:tcBorders>
              <w:top w:val="nil"/>
              <w:left w:val="nil"/>
              <w:bottom w:val="nil"/>
              <w:right w:val="nil"/>
            </w:tcBorders>
            <w:shd w:val="clear" w:color="auto" w:fill="C0C0C0"/>
            <w:noWrap/>
            <w:vAlign w:val="bottom"/>
          </w:tcPr>
          <w:p w14:paraId="10D331F3"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505" w:type="pct"/>
            <w:tcBorders>
              <w:top w:val="nil"/>
              <w:left w:val="nil"/>
              <w:bottom w:val="nil"/>
              <w:right w:val="nil"/>
            </w:tcBorders>
            <w:shd w:val="clear" w:color="auto" w:fill="C0C0C0"/>
            <w:noWrap/>
            <w:vAlign w:val="bottom"/>
          </w:tcPr>
          <w:p w14:paraId="112FF878"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6</w:t>
            </w:r>
          </w:p>
        </w:tc>
        <w:tc>
          <w:tcPr>
            <w:tcW w:w="568" w:type="pct"/>
            <w:tcBorders>
              <w:top w:val="nil"/>
              <w:left w:val="nil"/>
              <w:bottom w:val="nil"/>
              <w:right w:val="nil"/>
            </w:tcBorders>
            <w:shd w:val="clear" w:color="auto" w:fill="C0C0C0"/>
            <w:noWrap/>
            <w:vAlign w:val="bottom"/>
          </w:tcPr>
          <w:p w14:paraId="785BC81E"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1</w:t>
            </w:r>
          </w:p>
        </w:tc>
        <w:tc>
          <w:tcPr>
            <w:tcW w:w="506" w:type="pct"/>
            <w:tcBorders>
              <w:top w:val="nil"/>
              <w:left w:val="nil"/>
              <w:bottom w:val="nil"/>
              <w:right w:val="nil"/>
            </w:tcBorders>
            <w:shd w:val="clear" w:color="auto" w:fill="C0C0C0"/>
            <w:noWrap/>
            <w:vAlign w:val="bottom"/>
          </w:tcPr>
          <w:p w14:paraId="74190D66"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706" w:type="pct"/>
            <w:tcBorders>
              <w:top w:val="nil"/>
              <w:left w:val="nil"/>
              <w:bottom w:val="nil"/>
              <w:right w:val="nil"/>
            </w:tcBorders>
            <w:shd w:val="clear" w:color="auto" w:fill="DDDDDD"/>
            <w:noWrap/>
            <w:vAlign w:val="center"/>
          </w:tcPr>
          <w:p w14:paraId="0023EE7B" w14:textId="77777777" w:rsidR="008050C6" w:rsidRPr="00F9684A" w:rsidRDefault="008050C6" w:rsidP="008050C6">
            <w:pPr>
              <w:spacing w:before="2" w:after="2"/>
              <w:jc w:val="center"/>
              <w:rPr>
                <w:rFonts w:ascii="Microsoft Sans Serif" w:hAnsi="Microsoft Sans Serif" w:cs="Microsoft Sans Serif"/>
                <w:sz w:val="20"/>
                <w:szCs w:val="20"/>
              </w:rPr>
            </w:pPr>
            <w:r>
              <w:rPr>
                <w:rFonts w:ascii="Microsoft Sans Serif" w:hAnsi="Microsoft Sans Serif" w:cs="Microsoft Sans Serif"/>
                <w:sz w:val="20"/>
                <w:szCs w:val="20"/>
              </w:rPr>
              <w:t>56</w:t>
            </w:r>
          </w:p>
        </w:tc>
        <w:tc>
          <w:tcPr>
            <w:tcW w:w="407" w:type="pct"/>
            <w:tcBorders>
              <w:top w:val="nil"/>
              <w:left w:val="nil"/>
              <w:bottom w:val="nil"/>
              <w:right w:val="nil"/>
            </w:tcBorders>
            <w:shd w:val="clear" w:color="auto" w:fill="CDD8E6"/>
            <w:noWrap/>
            <w:vAlign w:val="center"/>
          </w:tcPr>
          <w:p w14:paraId="7D8091DD" w14:textId="77777777" w:rsidR="008050C6" w:rsidRPr="00F9684A" w:rsidRDefault="008050C6" w:rsidP="008050C6">
            <w:pPr>
              <w:spacing w:before="2" w:after="2"/>
              <w:jc w:val="center"/>
              <w:rPr>
                <w:rFonts w:ascii="Microsoft Sans Serif" w:hAnsi="Microsoft Sans Serif" w:cs="Microsoft Sans Serif"/>
                <w:sz w:val="20"/>
                <w:szCs w:val="20"/>
              </w:rPr>
            </w:pPr>
            <w:r w:rsidRPr="00F9684A">
              <w:rPr>
                <w:rFonts w:ascii="Microsoft Sans Serif" w:hAnsi="Microsoft Sans Serif" w:cs="Microsoft Sans Serif"/>
                <w:sz w:val="20"/>
                <w:szCs w:val="20"/>
              </w:rPr>
              <w:t> </w:t>
            </w:r>
          </w:p>
        </w:tc>
      </w:tr>
    </w:tbl>
    <w:p w14:paraId="749E99A2" w14:textId="77777777" w:rsidR="008050C6" w:rsidRDefault="008050C6" w:rsidP="00652E46">
      <w:pPr>
        <w:spacing w:line="480" w:lineRule="auto"/>
        <w:jc w:val="both"/>
        <w:rPr>
          <w:rFonts w:ascii="Times New Roman" w:hAnsi="Times New Roman"/>
        </w:rPr>
      </w:pPr>
    </w:p>
    <w:p w14:paraId="0378D28B" w14:textId="2369CDB9" w:rsidR="0064082E" w:rsidRPr="008B0A1E" w:rsidRDefault="0064082E" w:rsidP="007C2393">
      <w:pPr>
        <w:spacing w:line="480" w:lineRule="auto"/>
        <w:ind w:firstLine="720"/>
        <w:jc w:val="both"/>
        <w:rPr>
          <w:rFonts w:ascii="Times New Roman" w:hAnsi="Times New Roman"/>
        </w:rPr>
      </w:pPr>
      <w:r w:rsidRPr="008B0A1E">
        <w:rPr>
          <w:rFonts w:ascii="Times New Roman" w:hAnsi="Times New Roman"/>
        </w:rPr>
        <w:t xml:space="preserve">Since a variety of contractors provide either repeat work in the same department or work for more than one department it </w:t>
      </w:r>
      <w:r w:rsidR="00EB49D7">
        <w:rPr>
          <w:rFonts w:ascii="Times New Roman" w:hAnsi="Times New Roman"/>
        </w:rPr>
        <w:t>would be very useful for</w:t>
      </w:r>
      <w:r w:rsidRPr="008B0A1E">
        <w:rPr>
          <w:rFonts w:ascii="Times New Roman" w:hAnsi="Times New Roman"/>
        </w:rPr>
        <w:t xml:space="preserve"> administrators to</w:t>
      </w:r>
      <w:r w:rsidR="00EB49D7">
        <w:rPr>
          <w:rFonts w:ascii="Times New Roman" w:hAnsi="Times New Roman"/>
        </w:rPr>
        <w:t xml:space="preserve"> share this type of information. </w:t>
      </w:r>
      <w:r w:rsidRPr="008B0A1E">
        <w:rPr>
          <w:rFonts w:ascii="Times New Roman" w:hAnsi="Times New Roman"/>
        </w:rPr>
        <w:t>What is less common within departments are routine post-engagement assessments. In fact, these take place only about half the time (48</w:t>
      </w:r>
      <w:r w:rsidR="008050C6">
        <w:rPr>
          <w:rFonts w:ascii="Times New Roman" w:hAnsi="Times New Roman"/>
        </w:rPr>
        <w:t>.</w:t>
      </w:r>
      <w:r w:rsidRPr="008B0A1E">
        <w:rPr>
          <w:rFonts w:ascii="Times New Roman" w:hAnsi="Times New Roman"/>
        </w:rPr>
        <w:t>1%).</w:t>
      </w:r>
    </w:p>
    <w:p w14:paraId="4D31C72F" w14:textId="58CD1F47" w:rsidR="0064082E" w:rsidRDefault="00652E46" w:rsidP="007C2393">
      <w:pPr>
        <w:spacing w:line="480" w:lineRule="auto"/>
        <w:ind w:firstLine="720"/>
        <w:jc w:val="both"/>
        <w:rPr>
          <w:rFonts w:ascii="Times New Roman" w:hAnsi="Times New Roman"/>
        </w:rPr>
      </w:pPr>
      <w:r>
        <w:rPr>
          <w:rFonts w:ascii="Times New Roman" w:hAnsi="Times New Roman"/>
        </w:rPr>
        <w:t>Also o</w:t>
      </w:r>
      <w:r w:rsidR="0064082E" w:rsidRPr="008B0A1E">
        <w:rPr>
          <w:rFonts w:ascii="Times New Roman" w:hAnsi="Times New Roman"/>
        </w:rPr>
        <w:t xml:space="preserve">f interest in this area (and in fact confirming the problems highlighted by other independent research in this field) is that the various departments seldom measure efficiency gains from use of consultants. In practical terms, there are as many respondents for the </w:t>
      </w:r>
      <w:r>
        <w:rPr>
          <w:rFonts w:ascii="Times New Roman" w:hAnsi="Times New Roman"/>
        </w:rPr>
        <w:t>“</w:t>
      </w:r>
      <w:r w:rsidR="0064082E" w:rsidRPr="008B0A1E">
        <w:rPr>
          <w:rFonts w:ascii="Times New Roman" w:hAnsi="Times New Roman"/>
        </w:rPr>
        <w:t>Never</w:t>
      </w:r>
      <w:r>
        <w:rPr>
          <w:rFonts w:ascii="Times New Roman" w:hAnsi="Times New Roman"/>
        </w:rPr>
        <w:t>”</w:t>
      </w:r>
      <w:r w:rsidR="0064082E" w:rsidRPr="008B0A1E">
        <w:rPr>
          <w:rFonts w:ascii="Times New Roman" w:hAnsi="Times New Roman"/>
        </w:rPr>
        <w:t xml:space="preserve"> category as there</w:t>
      </w:r>
      <w:r>
        <w:rPr>
          <w:rFonts w:ascii="Times New Roman" w:hAnsi="Times New Roman"/>
        </w:rPr>
        <w:t xml:space="preserve"> are fo</w:t>
      </w:r>
      <w:r w:rsidR="000543B8">
        <w:rPr>
          <w:rFonts w:ascii="Times New Roman" w:hAnsi="Times New Roman"/>
        </w:rPr>
        <w:t xml:space="preserve">r the two top responses (Table </w:t>
      </w:r>
      <w:r w:rsidR="0009664C">
        <w:rPr>
          <w:rFonts w:ascii="Times New Roman" w:hAnsi="Times New Roman"/>
        </w:rPr>
        <w:t>12</w:t>
      </w:r>
      <w:r w:rsidR="000543B8">
        <w:rPr>
          <w:rFonts w:ascii="Times New Roman" w:hAnsi="Times New Roman"/>
        </w:rPr>
        <w:t xml:space="preserve"> and Chart </w:t>
      </w:r>
      <w:r w:rsidR="0009664C">
        <w:rPr>
          <w:rFonts w:ascii="Times New Roman" w:hAnsi="Times New Roman"/>
        </w:rPr>
        <w:t>11</w:t>
      </w:r>
      <w:r>
        <w:rPr>
          <w:rFonts w:ascii="Times New Roman" w:hAnsi="Times New Roman"/>
        </w:rPr>
        <w:t>)</w:t>
      </w:r>
    </w:p>
    <w:p w14:paraId="09B321C1" w14:textId="77777777" w:rsidR="0009664C" w:rsidRPr="008B0A1E" w:rsidRDefault="0009664C" w:rsidP="007C2393">
      <w:pPr>
        <w:spacing w:line="480" w:lineRule="auto"/>
        <w:ind w:firstLine="720"/>
        <w:jc w:val="both"/>
        <w:rPr>
          <w:rFonts w:ascii="Times New Roman" w:hAnsi="Times New Roman"/>
        </w:rPr>
      </w:pPr>
    </w:p>
    <w:p w14:paraId="3822AE1F" w14:textId="77777777" w:rsidR="0064082E" w:rsidRPr="008B0A1E" w:rsidRDefault="0064082E" w:rsidP="001F7FDF">
      <w:pPr>
        <w:jc w:val="both"/>
        <w:rPr>
          <w:rFonts w:ascii="Times New Roman" w:hAnsi="Times New Roman"/>
        </w:rPr>
      </w:pPr>
    </w:p>
    <w:p w14:paraId="257EC044" w14:textId="5035BDC9" w:rsidR="0064082E" w:rsidRPr="008B0A1E" w:rsidRDefault="000543B8" w:rsidP="001F7FDF">
      <w:pPr>
        <w:jc w:val="both"/>
        <w:rPr>
          <w:rFonts w:ascii="Times New Roman" w:hAnsi="Times New Roman"/>
          <w:i/>
        </w:rPr>
      </w:pPr>
      <w:r>
        <w:rPr>
          <w:rFonts w:ascii="Times New Roman" w:hAnsi="Times New Roman"/>
          <w:i/>
        </w:rPr>
        <w:t xml:space="preserve">Table </w:t>
      </w:r>
      <w:r w:rsidR="0009664C">
        <w:rPr>
          <w:rFonts w:ascii="Times New Roman" w:hAnsi="Times New Roman"/>
          <w:i/>
        </w:rPr>
        <w:t>12</w:t>
      </w:r>
      <w:r w:rsidR="00652E46">
        <w:rPr>
          <w:rFonts w:ascii="Times New Roman" w:hAnsi="Times New Roman"/>
          <w:i/>
        </w:rPr>
        <w:t xml:space="preserve"> </w:t>
      </w:r>
      <w:r w:rsidR="0064082E" w:rsidRPr="008B0A1E">
        <w:rPr>
          <w:rFonts w:ascii="Times New Roman" w:hAnsi="Times New Roman"/>
          <w:i/>
        </w:rPr>
        <w:t>How often do Departments measure efficiency gains?</w:t>
      </w:r>
    </w:p>
    <w:tbl>
      <w:tblPr>
        <w:tblW w:w="6691" w:type="dxa"/>
        <w:tblInd w:w="92" w:type="dxa"/>
        <w:tblLook w:val="0000" w:firstRow="0" w:lastRow="0" w:firstColumn="0" w:lastColumn="0" w:noHBand="0" w:noVBand="0"/>
      </w:tblPr>
      <w:tblGrid>
        <w:gridCol w:w="951"/>
        <w:gridCol w:w="1330"/>
        <w:gridCol w:w="1368"/>
        <w:gridCol w:w="896"/>
        <w:gridCol w:w="895"/>
        <w:gridCol w:w="1251"/>
      </w:tblGrid>
      <w:tr w:rsidR="0064082E" w:rsidRPr="008B0A1E" w14:paraId="6E57B43A" w14:textId="77777777">
        <w:trPr>
          <w:trHeight w:val="600"/>
        </w:trPr>
        <w:tc>
          <w:tcPr>
            <w:tcW w:w="951" w:type="dxa"/>
            <w:tcBorders>
              <w:top w:val="nil"/>
              <w:left w:val="nil"/>
              <w:bottom w:val="nil"/>
              <w:right w:val="nil"/>
            </w:tcBorders>
            <w:shd w:val="clear" w:color="auto" w:fill="DEE9F7"/>
            <w:vAlign w:val="center"/>
          </w:tcPr>
          <w:p w14:paraId="0AA2C4DA"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Always</w:t>
            </w:r>
          </w:p>
        </w:tc>
        <w:tc>
          <w:tcPr>
            <w:tcW w:w="1330" w:type="dxa"/>
            <w:tcBorders>
              <w:top w:val="nil"/>
              <w:left w:val="nil"/>
              <w:bottom w:val="nil"/>
              <w:right w:val="nil"/>
            </w:tcBorders>
            <w:shd w:val="clear" w:color="auto" w:fill="DEE9F7"/>
            <w:vAlign w:val="center"/>
          </w:tcPr>
          <w:p w14:paraId="21669200"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Frequently</w:t>
            </w:r>
          </w:p>
        </w:tc>
        <w:tc>
          <w:tcPr>
            <w:tcW w:w="1368" w:type="dxa"/>
            <w:tcBorders>
              <w:top w:val="nil"/>
              <w:left w:val="nil"/>
              <w:bottom w:val="nil"/>
              <w:right w:val="nil"/>
            </w:tcBorders>
            <w:shd w:val="clear" w:color="auto" w:fill="DEE9F7"/>
            <w:vAlign w:val="center"/>
          </w:tcPr>
          <w:p w14:paraId="76FBC351"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Sometimes</w:t>
            </w:r>
          </w:p>
        </w:tc>
        <w:tc>
          <w:tcPr>
            <w:tcW w:w="896" w:type="dxa"/>
            <w:tcBorders>
              <w:top w:val="nil"/>
              <w:left w:val="nil"/>
              <w:bottom w:val="nil"/>
              <w:right w:val="nil"/>
            </w:tcBorders>
            <w:shd w:val="clear" w:color="auto" w:fill="DEE9F7"/>
            <w:vAlign w:val="center"/>
          </w:tcPr>
          <w:p w14:paraId="3380F8E8"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Rarely</w:t>
            </w:r>
          </w:p>
        </w:tc>
        <w:tc>
          <w:tcPr>
            <w:tcW w:w="895" w:type="dxa"/>
            <w:tcBorders>
              <w:top w:val="nil"/>
              <w:left w:val="nil"/>
              <w:bottom w:val="nil"/>
              <w:right w:val="nil"/>
            </w:tcBorders>
            <w:shd w:val="clear" w:color="auto" w:fill="DEE9F7"/>
            <w:vAlign w:val="center"/>
          </w:tcPr>
          <w:p w14:paraId="75D9A722"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Never</w:t>
            </w:r>
          </w:p>
        </w:tc>
        <w:tc>
          <w:tcPr>
            <w:tcW w:w="1251" w:type="dxa"/>
            <w:tcBorders>
              <w:top w:val="nil"/>
              <w:left w:val="nil"/>
              <w:bottom w:val="nil"/>
              <w:right w:val="nil"/>
            </w:tcBorders>
            <w:shd w:val="clear" w:color="auto" w:fill="CDD8E6"/>
            <w:vAlign w:val="center"/>
          </w:tcPr>
          <w:p w14:paraId="39EDAECD" w14:textId="77777777" w:rsidR="0064082E" w:rsidRPr="008B0A1E" w:rsidRDefault="0064082E" w:rsidP="007C2393">
            <w:pPr>
              <w:jc w:val="center"/>
              <w:rPr>
                <w:rFonts w:ascii="Times New Roman" w:hAnsi="Times New Roman"/>
                <w:b/>
                <w:bCs/>
                <w:color w:val="000000"/>
                <w:sz w:val="20"/>
                <w:szCs w:val="20"/>
              </w:rPr>
            </w:pPr>
            <w:r w:rsidRPr="008B0A1E">
              <w:rPr>
                <w:rFonts w:ascii="Times New Roman" w:hAnsi="Times New Roman"/>
                <w:b/>
                <w:bCs/>
                <w:color w:val="000000"/>
                <w:sz w:val="20"/>
                <w:szCs w:val="20"/>
              </w:rPr>
              <w:t>Response Count</w:t>
            </w:r>
          </w:p>
        </w:tc>
      </w:tr>
      <w:tr w:rsidR="0064082E" w:rsidRPr="008B0A1E" w14:paraId="609E3447" w14:textId="77777777">
        <w:trPr>
          <w:trHeight w:val="240"/>
        </w:trPr>
        <w:tc>
          <w:tcPr>
            <w:tcW w:w="951" w:type="dxa"/>
            <w:tcBorders>
              <w:top w:val="nil"/>
              <w:left w:val="nil"/>
              <w:bottom w:val="nil"/>
              <w:right w:val="nil"/>
            </w:tcBorders>
            <w:shd w:val="clear" w:color="auto" w:fill="auto"/>
            <w:noWrap/>
            <w:vAlign w:val="bottom"/>
          </w:tcPr>
          <w:p w14:paraId="35AA1965"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5.13%</w:t>
            </w:r>
          </w:p>
        </w:tc>
        <w:tc>
          <w:tcPr>
            <w:tcW w:w="1330" w:type="dxa"/>
            <w:tcBorders>
              <w:top w:val="nil"/>
              <w:left w:val="nil"/>
              <w:bottom w:val="nil"/>
              <w:right w:val="nil"/>
            </w:tcBorders>
            <w:shd w:val="clear" w:color="auto" w:fill="auto"/>
            <w:noWrap/>
            <w:vAlign w:val="bottom"/>
          </w:tcPr>
          <w:p w14:paraId="599D0923"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12.82%</w:t>
            </w:r>
          </w:p>
        </w:tc>
        <w:tc>
          <w:tcPr>
            <w:tcW w:w="1368" w:type="dxa"/>
            <w:tcBorders>
              <w:top w:val="nil"/>
              <w:left w:val="nil"/>
              <w:bottom w:val="nil"/>
              <w:right w:val="nil"/>
            </w:tcBorders>
            <w:shd w:val="clear" w:color="auto" w:fill="auto"/>
            <w:noWrap/>
            <w:vAlign w:val="bottom"/>
          </w:tcPr>
          <w:p w14:paraId="78746E8F"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25.64%</w:t>
            </w:r>
          </w:p>
        </w:tc>
        <w:tc>
          <w:tcPr>
            <w:tcW w:w="896" w:type="dxa"/>
            <w:tcBorders>
              <w:top w:val="nil"/>
              <w:left w:val="nil"/>
              <w:bottom w:val="nil"/>
              <w:right w:val="nil"/>
            </w:tcBorders>
            <w:shd w:val="clear" w:color="auto" w:fill="auto"/>
            <w:noWrap/>
            <w:vAlign w:val="bottom"/>
          </w:tcPr>
          <w:p w14:paraId="25C264E7"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38.46%</w:t>
            </w:r>
          </w:p>
        </w:tc>
        <w:tc>
          <w:tcPr>
            <w:tcW w:w="895" w:type="dxa"/>
            <w:tcBorders>
              <w:top w:val="nil"/>
              <w:left w:val="nil"/>
              <w:bottom w:val="nil"/>
              <w:right w:val="nil"/>
            </w:tcBorders>
            <w:shd w:val="clear" w:color="auto" w:fill="auto"/>
            <w:noWrap/>
            <w:vAlign w:val="bottom"/>
          </w:tcPr>
          <w:p w14:paraId="2DA5BC9F"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17.95%</w:t>
            </w:r>
          </w:p>
        </w:tc>
        <w:tc>
          <w:tcPr>
            <w:tcW w:w="1251" w:type="dxa"/>
            <w:tcBorders>
              <w:top w:val="nil"/>
              <w:left w:val="nil"/>
              <w:bottom w:val="nil"/>
              <w:right w:val="nil"/>
            </w:tcBorders>
            <w:shd w:val="clear" w:color="auto" w:fill="auto"/>
            <w:noWrap/>
            <w:vAlign w:val="bottom"/>
          </w:tcPr>
          <w:p w14:paraId="4A41FD46" w14:textId="77777777" w:rsidR="0064082E" w:rsidRPr="008B0A1E" w:rsidRDefault="0064082E" w:rsidP="007C2393">
            <w:pPr>
              <w:jc w:val="center"/>
              <w:rPr>
                <w:rFonts w:ascii="Times New Roman" w:hAnsi="Times New Roman"/>
                <w:sz w:val="20"/>
                <w:szCs w:val="20"/>
              </w:rPr>
            </w:pPr>
            <w:r w:rsidRPr="008B0A1E">
              <w:rPr>
                <w:rFonts w:ascii="Times New Roman" w:hAnsi="Times New Roman"/>
                <w:sz w:val="20"/>
                <w:szCs w:val="20"/>
              </w:rPr>
              <w:t>78</w:t>
            </w:r>
          </w:p>
        </w:tc>
      </w:tr>
    </w:tbl>
    <w:p w14:paraId="30487D6F"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Q.34</w:t>
      </w:r>
    </w:p>
    <w:p w14:paraId="6800C58B" w14:textId="77777777" w:rsidR="0064082E" w:rsidRDefault="0064082E" w:rsidP="001F7FDF">
      <w:pPr>
        <w:jc w:val="both"/>
        <w:rPr>
          <w:rFonts w:ascii="Times New Roman" w:hAnsi="Times New Roman"/>
        </w:rPr>
      </w:pPr>
    </w:p>
    <w:p w14:paraId="00A74482" w14:textId="77777777" w:rsidR="00A253F4" w:rsidRDefault="00A253F4" w:rsidP="001F7FDF">
      <w:pPr>
        <w:jc w:val="both"/>
        <w:rPr>
          <w:rFonts w:ascii="Times New Roman" w:hAnsi="Times New Roman"/>
        </w:rPr>
      </w:pPr>
    </w:p>
    <w:p w14:paraId="2BFBEEFE" w14:textId="77777777" w:rsidR="00A253F4" w:rsidRDefault="00A253F4" w:rsidP="001F7FDF">
      <w:pPr>
        <w:jc w:val="both"/>
        <w:rPr>
          <w:rFonts w:ascii="Times New Roman" w:hAnsi="Times New Roman"/>
        </w:rPr>
      </w:pPr>
    </w:p>
    <w:p w14:paraId="7B0C4FDA" w14:textId="77777777" w:rsidR="00A253F4" w:rsidRDefault="00A253F4" w:rsidP="001F7FDF">
      <w:pPr>
        <w:jc w:val="both"/>
        <w:rPr>
          <w:rFonts w:ascii="Times New Roman" w:hAnsi="Times New Roman"/>
        </w:rPr>
      </w:pPr>
    </w:p>
    <w:p w14:paraId="226051C6" w14:textId="77777777" w:rsidR="00A253F4" w:rsidRDefault="00A253F4" w:rsidP="001F7FDF">
      <w:pPr>
        <w:jc w:val="both"/>
        <w:rPr>
          <w:rFonts w:ascii="Times New Roman" w:hAnsi="Times New Roman"/>
        </w:rPr>
      </w:pPr>
    </w:p>
    <w:p w14:paraId="642DE6A1" w14:textId="77777777" w:rsidR="00A253F4" w:rsidRDefault="00A253F4" w:rsidP="001F7FDF">
      <w:pPr>
        <w:jc w:val="both"/>
        <w:rPr>
          <w:rFonts w:ascii="Times New Roman" w:hAnsi="Times New Roman"/>
        </w:rPr>
      </w:pPr>
    </w:p>
    <w:p w14:paraId="4FF59630" w14:textId="77777777" w:rsidR="00A253F4" w:rsidRPr="008B0A1E" w:rsidRDefault="00A253F4" w:rsidP="001F7FDF">
      <w:pPr>
        <w:jc w:val="both"/>
        <w:rPr>
          <w:rFonts w:ascii="Times New Roman" w:hAnsi="Times New Roman"/>
        </w:rPr>
      </w:pPr>
    </w:p>
    <w:p w14:paraId="1B8F9844" w14:textId="38BE9D70" w:rsidR="0064082E" w:rsidRPr="008B0A1E" w:rsidRDefault="000543B8" w:rsidP="001F7FDF">
      <w:pPr>
        <w:jc w:val="both"/>
        <w:rPr>
          <w:rFonts w:ascii="Times New Roman" w:hAnsi="Times New Roman"/>
          <w:i/>
        </w:rPr>
      </w:pPr>
      <w:r>
        <w:rPr>
          <w:rFonts w:ascii="Times New Roman" w:hAnsi="Times New Roman"/>
          <w:i/>
        </w:rPr>
        <w:t xml:space="preserve">Chart </w:t>
      </w:r>
      <w:r w:rsidR="0009664C">
        <w:rPr>
          <w:rFonts w:ascii="Times New Roman" w:hAnsi="Times New Roman"/>
          <w:i/>
        </w:rPr>
        <w:t>11</w:t>
      </w:r>
      <w:r w:rsidR="0064082E" w:rsidRPr="008B0A1E">
        <w:rPr>
          <w:rFonts w:ascii="Times New Roman" w:hAnsi="Times New Roman"/>
          <w:i/>
        </w:rPr>
        <w:t xml:space="preserve"> How often do Departments measure efficiency gains?</w:t>
      </w:r>
    </w:p>
    <w:p w14:paraId="6ED12099" w14:textId="77777777" w:rsidR="0064082E" w:rsidRPr="008B0A1E" w:rsidRDefault="0064082E" w:rsidP="001F7FDF">
      <w:pPr>
        <w:jc w:val="both"/>
        <w:rPr>
          <w:rFonts w:ascii="Times New Roman" w:hAnsi="Times New Roman"/>
        </w:rPr>
      </w:pPr>
      <w:r w:rsidRPr="008B0A1E">
        <w:rPr>
          <w:rFonts w:ascii="Times New Roman" w:hAnsi="Times New Roman"/>
          <w:noProof/>
        </w:rPr>
        <w:drawing>
          <wp:inline distT="0" distB="0" distL="0" distR="0" wp14:anchorId="7E3E8FE3" wp14:editId="4122E7B5">
            <wp:extent cx="4572000" cy="2743200"/>
            <wp:effectExtent l="25400" t="25400" r="0" b="0"/>
            <wp:docPr id="10"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DC7AC0" w14:textId="77777777" w:rsidR="0064082E" w:rsidRPr="00EF59C3" w:rsidRDefault="0064082E" w:rsidP="001F7FDF">
      <w:pPr>
        <w:jc w:val="both"/>
        <w:rPr>
          <w:rFonts w:ascii="Times New Roman" w:hAnsi="Times New Roman"/>
          <w:i/>
          <w:sz w:val="20"/>
        </w:rPr>
      </w:pPr>
      <w:r w:rsidRPr="008B0A1E">
        <w:rPr>
          <w:rFonts w:ascii="Times New Roman" w:hAnsi="Times New Roman"/>
          <w:i/>
          <w:sz w:val="20"/>
        </w:rPr>
        <w:t>Source Q.34</w:t>
      </w:r>
    </w:p>
    <w:p w14:paraId="105E0A9E" w14:textId="77777777" w:rsidR="0064082E" w:rsidRPr="008B0A1E" w:rsidRDefault="0064082E" w:rsidP="001F7FDF">
      <w:pPr>
        <w:jc w:val="both"/>
        <w:rPr>
          <w:rFonts w:ascii="Times New Roman" w:hAnsi="Times New Roman"/>
        </w:rPr>
      </w:pPr>
    </w:p>
    <w:p w14:paraId="02CA1456" w14:textId="77777777" w:rsidR="000543B8" w:rsidRDefault="0064082E" w:rsidP="00D72F0A">
      <w:pPr>
        <w:spacing w:line="480" w:lineRule="auto"/>
        <w:ind w:firstLine="720"/>
        <w:jc w:val="both"/>
        <w:rPr>
          <w:rFonts w:ascii="Times New Roman" w:hAnsi="Times New Roman"/>
        </w:rPr>
      </w:pPr>
      <w:r w:rsidRPr="008B0A1E">
        <w:rPr>
          <w:rFonts w:ascii="Times New Roman" w:hAnsi="Times New Roman"/>
        </w:rPr>
        <w:t xml:space="preserve">There is also relatively little effort placed on collecting information about suppliers and sharing it either within the Department (only 35% of respondents answer </w:t>
      </w:r>
      <w:r w:rsidR="000543B8">
        <w:rPr>
          <w:rFonts w:ascii="Times New Roman" w:hAnsi="Times New Roman"/>
        </w:rPr>
        <w:t xml:space="preserve">this in the positive), </w:t>
      </w:r>
      <w:r w:rsidRPr="008B0A1E">
        <w:rPr>
          <w:rFonts w:ascii="Times New Roman" w:hAnsi="Times New Roman"/>
        </w:rPr>
        <w:t xml:space="preserve"> or with o</w:t>
      </w:r>
      <w:r w:rsidR="000543B8">
        <w:rPr>
          <w:rFonts w:ascii="Times New Roman" w:hAnsi="Times New Roman"/>
        </w:rPr>
        <w:t>ther Departments (22.7%).</w:t>
      </w:r>
      <w:r w:rsidR="00D72F0A">
        <w:rPr>
          <w:rFonts w:ascii="Times New Roman" w:hAnsi="Times New Roman"/>
        </w:rPr>
        <w:t xml:space="preserve"> </w:t>
      </w:r>
    </w:p>
    <w:p w14:paraId="1D7ADEEB" w14:textId="03AAAE3A" w:rsidR="0064082E" w:rsidRPr="008B0A1E" w:rsidRDefault="0064082E" w:rsidP="00D72F0A">
      <w:pPr>
        <w:spacing w:line="480" w:lineRule="auto"/>
        <w:ind w:firstLine="720"/>
        <w:jc w:val="both"/>
        <w:rPr>
          <w:rFonts w:ascii="Times New Roman" w:hAnsi="Times New Roman"/>
        </w:rPr>
      </w:pPr>
      <w:r w:rsidRPr="008B0A1E">
        <w:rPr>
          <w:rFonts w:ascii="Times New Roman" w:hAnsi="Times New Roman"/>
        </w:rPr>
        <w:t>Ultimately the managers that we have interviewed are satisfied with their engagement of external consultants with over two thirds of respondents being either satisfied or very satisfie</w:t>
      </w:r>
      <w:r w:rsidR="000543B8">
        <w:rPr>
          <w:rFonts w:ascii="Times New Roman" w:hAnsi="Times New Roman"/>
        </w:rPr>
        <w:t xml:space="preserve">d and only 5% being unsatisfied (Table </w:t>
      </w:r>
      <w:r w:rsidR="0009664C">
        <w:rPr>
          <w:rFonts w:ascii="Times New Roman" w:hAnsi="Times New Roman"/>
        </w:rPr>
        <w:t>13</w:t>
      </w:r>
      <w:r w:rsidR="000543B8">
        <w:rPr>
          <w:rFonts w:ascii="Times New Roman" w:hAnsi="Times New Roman"/>
        </w:rPr>
        <w:t>).</w:t>
      </w:r>
    </w:p>
    <w:p w14:paraId="0DC68F47" w14:textId="77777777" w:rsidR="0064082E" w:rsidRPr="008B0A1E" w:rsidRDefault="0064082E" w:rsidP="00D72F0A">
      <w:pPr>
        <w:jc w:val="center"/>
        <w:rPr>
          <w:rFonts w:ascii="Times New Roman" w:hAnsi="Times New Roman"/>
        </w:rPr>
      </w:pPr>
    </w:p>
    <w:p w14:paraId="1573603A" w14:textId="45EAA70F" w:rsidR="0064082E" w:rsidRPr="008B0A1E" w:rsidRDefault="000543B8" w:rsidP="00D72F0A">
      <w:pPr>
        <w:rPr>
          <w:rFonts w:ascii="Times New Roman" w:hAnsi="Times New Roman"/>
          <w:i/>
        </w:rPr>
      </w:pPr>
      <w:r>
        <w:rPr>
          <w:rFonts w:ascii="Times New Roman" w:hAnsi="Times New Roman"/>
          <w:i/>
        </w:rPr>
        <w:t xml:space="preserve">Table </w:t>
      </w:r>
      <w:r w:rsidR="0009664C">
        <w:rPr>
          <w:rFonts w:ascii="Times New Roman" w:hAnsi="Times New Roman"/>
          <w:i/>
        </w:rPr>
        <w:t>13</w:t>
      </w:r>
      <w:r w:rsidR="0064082E" w:rsidRPr="008B0A1E">
        <w:rPr>
          <w:rFonts w:ascii="Times New Roman" w:hAnsi="Times New Roman"/>
          <w:i/>
        </w:rPr>
        <w:t xml:space="preserve"> Level of Satisfaction with Consultancy Engagements</w:t>
      </w:r>
    </w:p>
    <w:tbl>
      <w:tblPr>
        <w:tblW w:w="5969" w:type="dxa"/>
        <w:tblInd w:w="92" w:type="dxa"/>
        <w:tblLook w:val="0000" w:firstRow="0" w:lastRow="0" w:firstColumn="0" w:lastColumn="0" w:noHBand="0" w:noVBand="0"/>
      </w:tblPr>
      <w:tblGrid>
        <w:gridCol w:w="1103"/>
        <w:gridCol w:w="1136"/>
        <w:gridCol w:w="979"/>
        <w:gridCol w:w="1392"/>
        <w:gridCol w:w="1359"/>
      </w:tblGrid>
      <w:tr w:rsidR="0064082E" w:rsidRPr="008B0A1E" w14:paraId="61064650" w14:textId="77777777">
        <w:trPr>
          <w:trHeight w:val="500"/>
        </w:trPr>
        <w:tc>
          <w:tcPr>
            <w:tcW w:w="1103" w:type="dxa"/>
            <w:tcBorders>
              <w:top w:val="nil"/>
              <w:left w:val="nil"/>
              <w:bottom w:val="nil"/>
              <w:right w:val="nil"/>
            </w:tcBorders>
            <w:shd w:val="clear" w:color="auto" w:fill="DEE9F7"/>
            <w:vAlign w:val="center"/>
          </w:tcPr>
          <w:p w14:paraId="063F44DA"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Very satisfied</w:t>
            </w:r>
          </w:p>
        </w:tc>
        <w:tc>
          <w:tcPr>
            <w:tcW w:w="1136" w:type="dxa"/>
            <w:tcBorders>
              <w:top w:val="nil"/>
              <w:left w:val="nil"/>
              <w:bottom w:val="nil"/>
              <w:right w:val="nil"/>
            </w:tcBorders>
            <w:shd w:val="clear" w:color="auto" w:fill="DEE9F7"/>
            <w:vAlign w:val="center"/>
          </w:tcPr>
          <w:p w14:paraId="44410004"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Satisfied</w:t>
            </w:r>
          </w:p>
        </w:tc>
        <w:tc>
          <w:tcPr>
            <w:tcW w:w="979" w:type="dxa"/>
            <w:tcBorders>
              <w:top w:val="nil"/>
              <w:left w:val="nil"/>
              <w:bottom w:val="nil"/>
              <w:right w:val="nil"/>
            </w:tcBorders>
            <w:shd w:val="clear" w:color="auto" w:fill="DEE9F7"/>
            <w:vAlign w:val="center"/>
          </w:tcPr>
          <w:p w14:paraId="0CAA625D"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Neutral</w:t>
            </w:r>
          </w:p>
        </w:tc>
        <w:tc>
          <w:tcPr>
            <w:tcW w:w="1392" w:type="dxa"/>
            <w:tcBorders>
              <w:top w:val="nil"/>
              <w:left w:val="nil"/>
              <w:bottom w:val="nil"/>
              <w:right w:val="nil"/>
            </w:tcBorders>
            <w:shd w:val="clear" w:color="auto" w:fill="DEE9F7"/>
            <w:vAlign w:val="center"/>
          </w:tcPr>
          <w:p w14:paraId="7F8C3324"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Unsatisfied</w:t>
            </w:r>
          </w:p>
        </w:tc>
        <w:tc>
          <w:tcPr>
            <w:tcW w:w="1359" w:type="dxa"/>
            <w:tcBorders>
              <w:top w:val="nil"/>
              <w:left w:val="nil"/>
              <w:bottom w:val="nil"/>
              <w:right w:val="nil"/>
            </w:tcBorders>
            <w:shd w:val="clear" w:color="auto" w:fill="DEE9F7"/>
            <w:vAlign w:val="center"/>
          </w:tcPr>
          <w:p w14:paraId="4092F679"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Very unsatisfied</w:t>
            </w:r>
          </w:p>
        </w:tc>
      </w:tr>
      <w:tr w:rsidR="0064082E" w:rsidRPr="008B0A1E" w14:paraId="045344E2" w14:textId="77777777">
        <w:trPr>
          <w:trHeight w:val="600"/>
        </w:trPr>
        <w:tc>
          <w:tcPr>
            <w:tcW w:w="1103" w:type="dxa"/>
            <w:tcBorders>
              <w:top w:val="nil"/>
              <w:left w:val="nil"/>
              <w:bottom w:val="nil"/>
              <w:right w:val="nil"/>
            </w:tcBorders>
            <w:shd w:val="clear" w:color="auto" w:fill="auto"/>
            <w:noWrap/>
            <w:vAlign w:val="center"/>
          </w:tcPr>
          <w:p w14:paraId="48C45A68"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8.64%</w:t>
            </w:r>
          </w:p>
        </w:tc>
        <w:tc>
          <w:tcPr>
            <w:tcW w:w="1136" w:type="dxa"/>
            <w:tcBorders>
              <w:top w:val="nil"/>
              <w:left w:val="nil"/>
              <w:bottom w:val="nil"/>
              <w:right w:val="nil"/>
            </w:tcBorders>
            <w:shd w:val="clear" w:color="auto" w:fill="auto"/>
            <w:noWrap/>
            <w:vAlign w:val="center"/>
          </w:tcPr>
          <w:p w14:paraId="2FCD1E79"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58.02%</w:t>
            </w:r>
          </w:p>
        </w:tc>
        <w:tc>
          <w:tcPr>
            <w:tcW w:w="979" w:type="dxa"/>
            <w:tcBorders>
              <w:top w:val="nil"/>
              <w:left w:val="nil"/>
              <w:bottom w:val="nil"/>
              <w:right w:val="nil"/>
            </w:tcBorders>
            <w:shd w:val="clear" w:color="auto" w:fill="auto"/>
            <w:noWrap/>
            <w:vAlign w:val="center"/>
          </w:tcPr>
          <w:p w14:paraId="6B16E7DD"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28.40%</w:t>
            </w:r>
          </w:p>
        </w:tc>
        <w:tc>
          <w:tcPr>
            <w:tcW w:w="1392" w:type="dxa"/>
            <w:tcBorders>
              <w:top w:val="nil"/>
              <w:left w:val="nil"/>
              <w:bottom w:val="nil"/>
              <w:right w:val="nil"/>
            </w:tcBorders>
            <w:shd w:val="clear" w:color="auto" w:fill="auto"/>
            <w:noWrap/>
            <w:vAlign w:val="center"/>
          </w:tcPr>
          <w:p w14:paraId="68C9F64E"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4.94%</w:t>
            </w:r>
          </w:p>
        </w:tc>
        <w:tc>
          <w:tcPr>
            <w:tcW w:w="1359" w:type="dxa"/>
            <w:tcBorders>
              <w:top w:val="nil"/>
              <w:left w:val="nil"/>
              <w:bottom w:val="nil"/>
              <w:right w:val="nil"/>
            </w:tcBorders>
            <w:shd w:val="clear" w:color="auto" w:fill="auto"/>
            <w:noWrap/>
            <w:vAlign w:val="center"/>
          </w:tcPr>
          <w:p w14:paraId="26FAF344"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0.00%</w:t>
            </w:r>
          </w:p>
        </w:tc>
      </w:tr>
    </w:tbl>
    <w:p w14:paraId="09864907"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Q.49</w:t>
      </w:r>
    </w:p>
    <w:p w14:paraId="7FAC4A7C" w14:textId="77777777" w:rsidR="0064082E" w:rsidRPr="008B0A1E" w:rsidRDefault="0064082E" w:rsidP="001F7FDF">
      <w:pPr>
        <w:jc w:val="both"/>
        <w:rPr>
          <w:rFonts w:ascii="Times New Roman" w:hAnsi="Times New Roman"/>
        </w:rPr>
      </w:pPr>
    </w:p>
    <w:p w14:paraId="0FB2790D" w14:textId="5617C8EF" w:rsidR="0064082E" w:rsidRDefault="0064082E" w:rsidP="00D72F0A">
      <w:pPr>
        <w:spacing w:line="480" w:lineRule="auto"/>
        <w:ind w:firstLine="720"/>
        <w:jc w:val="both"/>
        <w:rPr>
          <w:rFonts w:ascii="Times New Roman" w:hAnsi="Times New Roman"/>
        </w:rPr>
      </w:pPr>
      <w:r w:rsidRPr="008B0A1E">
        <w:rPr>
          <w:rFonts w:ascii="Times New Roman" w:hAnsi="Times New Roman"/>
        </w:rPr>
        <w:t>However, the picture changes slightly when they report on how satisfied they are of the policies and procedures that exi</w:t>
      </w:r>
      <w:r w:rsidR="00EF59C3">
        <w:rPr>
          <w:rFonts w:ascii="Times New Roman" w:hAnsi="Times New Roman"/>
        </w:rPr>
        <w:t>s</w:t>
      </w:r>
      <w:r w:rsidR="000543B8">
        <w:rPr>
          <w:rFonts w:ascii="Times New Roman" w:hAnsi="Times New Roman"/>
        </w:rPr>
        <w:t>t to manage consultants (Table 1</w:t>
      </w:r>
      <w:r w:rsidR="0009664C">
        <w:rPr>
          <w:rFonts w:ascii="Times New Roman" w:hAnsi="Times New Roman"/>
        </w:rPr>
        <w:t>4</w:t>
      </w:r>
      <w:r w:rsidR="000543B8">
        <w:rPr>
          <w:rFonts w:ascii="Times New Roman" w:hAnsi="Times New Roman"/>
        </w:rPr>
        <w:t>).</w:t>
      </w:r>
    </w:p>
    <w:p w14:paraId="4CDAA0E4" w14:textId="77777777" w:rsidR="000543B8" w:rsidRPr="008B0A1E" w:rsidRDefault="000543B8" w:rsidP="00D72F0A">
      <w:pPr>
        <w:spacing w:line="480" w:lineRule="auto"/>
        <w:ind w:firstLine="720"/>
        <w:jc w:val="both"/>
        <w:rPr>
          <w:rFonts w:ascii="Times New Roman" w:hAnsi="Times New Roman"/>
        </w:rPr>
      </w:pPr>
    </w:p>
    <w:p w14:paraId="7A5B3B5E" w14:textId="69845489" w:rsidR="0064082E" w:rsidRPr="008B0A1E" w:rsidRDefault="000543B8" w:rsidP="001F7FDF">
      <w:pPr>
        <w:jc w:val="both"/>
        <w:rPr>
          <w:rFonts w:ascii="Times New Roman" w:hAnsi="Times New Roman"/>
          <w:i/>
        </w:rPr>
      </w:pPr>
      <w:r>
        <w:rPr>
          <w:rFonts w:ascii="Times New Roman" w:hAnsi="Times New Roman"/>
          <w:i/>
        </w:rPr>
        <w:t>Table 1</w:t>
      </w:r>
      <w:r w:rsidR="0009664C">
        <w:rPr>
          <w:rFonts w:ascii="Times New Roman" w:hAnsi="Times New Roman"/>
          <w:i/>
        </w:rPr>
        <w:t>4</w:t>
      </w:r>
      <w:r w:rsidR="0064082E" w:rsidRPr="008B0A1E">
        <w:rPr>
          <w:rFonts w:ascii="Times New Roman" w:hAnsi="Times New Roman"/>
          <w:i/>
        </w:rPr>
        <w:t xml:space="preserve"> Satisfaction with Procedures to Manage Consultants</w:t>
      </w:r>
    </w:p>
    <w:tbl>
      <w:tblPr>
        <w:tblW w:w="6035" w:type="dxa"/>
        <w:tblInd w:w="92" w:type="dxa"/>
        <w:tblLook w:val="0000" w:firstRow="0" w:lastRow="0" w:firstColumn="0" w:lastColumn="0" w:noHBand="0" w:noVBand="0"/>
      </w:tblPr>
      <w:tblGrid>
        <w:gridCol w:w="1136"/>
        <w:gridCol w:w="1136"/>
        <w:gridCol w:w="979"/>
        <w:gridCol w:w="1392"/>
        <w:gridCol w:w="1392"/>
      </w:tblGrid>
      <w:tr w:rsidR="0064082E" w:rsidRPr="008B0A1E" w14:paraId="318BD31E" w14:textId="77777777">
        <w:trPr>
          <w:trHeight w:val="500"/>
        </w:trPr>
        <w:tc>
          <w:tcPr>
            <w:tcW w:w="1136" w:type="dxa"/>
            <w:tcBorders>
              <w:top w:val="nil"/>
              <w:left w:val="nil"/>
              <w:bottom w:val="nil"/>
              <w:right w:val="nil"/>
            </w:tcBorders>
            <w:shd w:val="clear" w:color="auto" w:fill="DEE9F7"/>
            <w:vAlign w:val="center"/>
          </w:tcPr>
          <w:p w14:paraId="19017E9C"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Very Satisfied</w:t>
            </w:r>
          </w:p>
        </w:tc>
        <w:tc>
          <w:tcPr>
            <w:tcW w:w="1136" w:type="dxa"/>
            <w:tcBorders>
              <w:top w:val="nil"/>
              <w:left w:val="nil"/>
              <w:bottom w:val="nil"/>
              <w:right w:val="nil"/>
            </w:tcBorders>
            <w:shd w:val="clear" w:color="auto" w:fill="DEE9F7"/>
            <w:vAlign w:val="center"/>
          </w:tcPr>
          <w:p w14:paraId="6962EB14"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Satisfied</w:t>
            </w:r>
          </w:p>
        </w:tc>
        <w:tc>
          <w:tcPr>
            <w:tcW w:w="979" w:type="dxa"/>
            <w:tcBorders>
              <w:top w:val="nil"/>
              <w:left w:val="nil"/>
              <w:bottom w:val="nil"/>
              <w:right w:val="nil"/>
            </w:tcBorders>
            <w:shd w:val="clear" w:color="auto" w:fill="DEE9F7"/>
            <w:vAlign w:val="center"/>
          </w:tcPr>
          <w:p w14:paraId="12E15841"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Neutral</w:t>
            </w:r>
          </w:p>
        </w:tc>
        <w:tc>
          <w:tcPr>
            <w:tcW w:w="1392" w:type="dxa"/>
            <w:tcBorders>
              <w:top w:val="nil"/>
              <w:left w:val="nil"/>
              <w:bottom w:val="nil"/>
              <w:right w:val="nil"/>
            </w:tcBorders>
            <w:shd w:val="clear" w:color="auto" w:fill="DEE9F7"/>
            <w:vAlign w:val="center"/>
          </w:tcPr>
          <w:p w14:paraId="6A035DFF"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Unsatisfied</w:t>
            </w:r>
          </w:p>
        </w:tc>
        <w:tc>
          <w:tcPr>
            <w:tcW w:w="1392" w:type="dxa"/>
            <w:tcBorders>
              <w:top w:val="nil"/>
              <w:left w:val="nil"/>
              <w:bottom w:val="nil"/>
              <w:right w:val="nil"/>
            </w:tcBorders>
            <w:shd w:val="clear" w:color="auto" w:fill="DEE9F7"/>
            <w:vAlign w:val="center"/>
          </w:tcPr>
          <w:p w14:paraId="1E39FC2C" w14:textId="77777777" w:rsidR="0064082E" w:rsidRPr="008B0A1E" w:rsidRDefault="0064082E" w:rsidP="00D72F0A">
            <w:pPr>
              <w:jc w:val="center"/>
              <w:rPr>
                <w:rFonts w:ascii="Times New Roman" w:hAnsi="Times New Roman"/>
                <w:b/>
                <w:bCs/>
                <w:color w:val="000000"/>
                <w:sz w:val="20"/>
                <w:szCs w:val="20"/>
              </w:rPr>
            </w:pPr>
            <w:r w:rsidRPr="008B0A1E">
              <w:rPr>
                <w:rFonts w:ascii="Times New Roman" w:hAnsi="Times New Roman"/>
                <w:b/>
                <w:bCs/>
                <w:color w:val="000000"/>
                <w:sz w:val="20"/>
                <w:szCs w:val="20"/>
              </w:rPr>
              <w:t>Very Unsatisfied</w:t>
            </w:r>
          </w:p>
        </w:tc>
      </w:tr>
      <w:tr w:rsidR="0064082E" w:rsidRPr="008B0A1E" w14:paraId="372849AF" w14:textId="77777777">
        <w:trPr>
          <w:trHeight w:val="600"/>
        </w:trPr>
        <w:tc>
          <w:tcPr>
            <w:tcW w:w="1136" w:type="dxa"/>
            <w:tcBorders>
              <w:top w:val="nil"/>
              <w:left w:val="nil"/>
              <w:bottom w:val="nil"/>
              <w:right w:val="nil"/>
            </w:tcBorders>
            <w:shd w:val="clear" w:color="auto" w:fill="auto"/>
            <w:noWrap/>
            <w:vAlign w:val="center"/>
          </w:tcPr>
          <w:p w14:paraId="5C2EE30A"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11.11%</w:t>
            </w:r>
          </w:p>
        </w:tc>
        <w:tc>
          <w:tcPr>
            <w:tcW w:w="1136" w:type="dxa"/>
            <w:tcBorders>
              <w:top w:val="nil"/>
              <w:left w:val="nil"/>
              <w:bottom w:val="nil"/>
              <w:right w:val="nil"/>
            </w:tcBorders>
            <w:shd w:val="clear" w:color="auto" w:fill="auto"/>
            <w:noWrap/>
            <w:vAlign w:val="center"/>
          </w:tcPr>
          <w:p w14:paraId="0DC8D8DE"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49.38%</w:t>
            </w:r>
          </w:p>
        </w:tc>
        <w:tc>
          <w:tcPr>
            <w:tcW w:w="979" w:type="dxa"/>
            <w:tcBorders>
              <w:top w:val="nil"/>
              <w:left w:val="nil"/>
              <w:bottom w:val="nil"/>
              <w:right w:val="nil"/>
            </w:tcBorders>
            <w:shd w:val="clear" w:color="auto" w:fill="auto"/>
            <w:noWrap/>
            <w:vAlign w:val="center"/>
          </w:tcPr>
          <w:p w14:paraId="6D347524"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22.22%</w:t>
            </w:r>
          </w:p>
        </w:tc>
        <w:tc>
          <w:tcPr>
            <w:tcW w:w="1392" w:type="dxa"/>
            <w:tcBorders>
              <w:top w:val="nil"/>
              <w:left w:val="nil"/>
              <w:bottom w:val="nil"/>
              <w:right w:val="nil"/>
            </w:tcBorders>
            <w:shd w:val="clear" w:color="auto" w:fill="auto"/>
            <w:noWrap/>
            <w:vAlign w:val="center"/>
          </w:tcPr>
          <w:p w14:paraId="107EE4A3"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16.05%</w:t>
            </w:r>
          </w:p>
        </w:tc>
        <w:tc>
          <w:tcPr>
            <w:tcW w:w="1392" w:type="dxa"/>
            <w:tcBorders>
              <w:top w:val="nil"/>
              <w:left w:val="nil"/>
              <w:bottom w:val="nil"/>
              <w:right w:val="nil"/>
            </w:tcBorders>
            <w:shd w:val="clear" w:color="auto" w:fill="auto"/>
            <w:noWrap/>
            <w:vAlign w:val="center"/>
          </w:tcPr>
          <w:p w14:paraId="6F15ECBF" w14:textId="77777777" w:rsidR="0064082E" w:rsidRPr="008B0A1E" w:rsidRDefault="0064082E" w:rsidP="00D72F0A">
            <w:pPr>
              <w:jc w:val="center"/>
              <w:rPr>
                <w:rFonts w:ascii="Times New Roman" w:hAnsi="Times New Roman"/>
                <w:sz w:val="20"/>
                <w:szCs w:val="20"/>
              </w:rPr>
            </w:pPr>
            <w:r w:rsidRPr="008B0A1E">
              <w:rPr>
                <w:rFonts w:ascii="Times New Roman" w:hAnsi="Times New Roman"/>
                <w:sz w:val="20"/>
                <w:szCs w:val="20"/>
              </w:rPr>
              <w:t>1.23%</w:t>
            </w:r>
          </w:p>
        </w:tc>
      </w:tr>
    </w:tbl>
    <w:p w14:paraId="1F9F8070" w14:textId="77777777" w:rsidR="0064082E" w:rsidRPr="008B0A1E" w:rsidRDefault="0064082E" w:rsidP="001F7FDF">
      <w:pPr>
        <w:jc w:val="both"/>
        <w:rPr>
          <w:rFonts w:ascii="Times New Roman" w:hAnsi="Times New Roman"/>
          <w:i/>
          <w:sz w:val="20"/>
        </w:rPr>
      </w:pPr>
      <w:r w:rsidRPr="008B0A1E">
        <w:rPr>
          <w:rFonts w:ascii="Times New Roman" w:hAnsi="Times New Roman"/>
          <w:i/>
          <w:sz w:val="20"/>
        </w:rPr>
        <w:t>Source Q.50</w:t>
      </w:r>
    </w:p>
    <w:p w14:paraId="450F1590" w14:textId="77777777" w:rsidR="00D72F0A" w:rsidRDefault="00D72F0A" w:rsidP="001F7FDF">
      <w:pPr>
        <w:jc w:val="both"/>
        <w:rPr>
          <w:rFonts w:ascii="Times New Roman" w:hAnsi="Times New Roman"/>
        </w:rPr>
      </w:pPr>
    </w:p>
    <w:p w14:paraId="6EBB1D16" w14:textId="77777777" w:rsidR="0064082E" w:rsidRPr="008B0A1E" w:rsidRDefault="00D72F0A" w:rsidP="00D72F0A">
      <w:pPr>
        <w:spacing w:line="480" w:lineRule="auto"/>
        <w:jc w:val="both"/>
        <w:rPr>
          <w:rFonts w:ascii="Times New Roman" w:hAnsi="Times New Roman"/>
        </w:rPr>
      </w:pPr>
      <w:r>
        <w:rPr>
          <w:rFonts w:ascii="Times New Roman" w:hAnsi="Times New Roman"/>
        </w:rPr>
        <w:tab/>
        <w:t>This seems to tell us that management would likely wish to have some m</w:t>
      </w:r>
      <w:r w:rsidR="00EF59C3">
        <w:rPr>
          <w:rFonts w:ascii="Times New Roman" w:hAnsi="Times New Roman"/>
        </w:rPr>
        <w:t>ore effective manner to handle problems with the management of consultants identified above.</w:t>
      </w:r>
    </w:p>
    <w:p w14:paraId="1B57C4CA" w14:textId="77777777" w:rsidR="00C8326D" w:rsidRPr="008B0A1E" w:rsidRDefault="00C8326D" w:rsidP="000543B8">
      <w:pPr>
        <w:jc w:val="both"/>
        <w:rPr>
          <w:rFonts w:ascii="Times New Roman" w:hAnsi="Times New Roman"/>
        </w:rPr>
      </w:pPr>
    </w:p>
    <w:p w14:paraId="11252D29" w14:textId="77777777" w:rsidR="00C8326D" w:rsidRPr="008B0A1E" w:rsidRDefault="00C8326D" w:rsidP="001F7FDF">
      <w:pPr>
        <w:spacing w:line="480" w:lineRule="auto"/>
        <w:jc w:val="both"/>
        <w:rPr>
          <w:rFonts w:ascii="Times New Roman" w:hAnsi="Times New Roman"/>
        </w:rPr>
      </w:pPr>
      <w:r w:rsidRPr="008B0A1E">
        <w:rPr>
          <w:rFonts w:ascii="Times New Roman" w:hAnsi="Times New Roman"/>
          <w:b/>
        </w:rPr>
        <w:t>Conclusions</w:t>
      </w:r>
    </w:p>
    <w:p w14:paraId="76DDBB96" w14:textId="77777777" w:rsidR="0076170D" w:rsidRDefault="00A66DED" w:rsidP="0076170D">
      <w:pPr>
        <w:spacing w:line="480" w:lineRule="auto"/>
        <w:ind w:firstLine="720"/>
        <w:jc w:val="both"/>
        <w:rPr>
          <w:rFonts w:ascii="Times New Roman" w:hAnsi="Times New Roman"/>
        </w:rPr>
      </w:pPr>
      <w:r>
        <w:rPr>
          <w:rFonts w:ascii="Times New Roman" w:hAnsi="Times New Roman"/>
        </w:rPr>
        <w:tab/>
      </w:r>
      <w:r w:rsidR="00E63379">
        <w:rPr>
          <w:rFonts w:ascii="Times New Roman" w:hAnsi="Times New Roman"/>
        </w:rPr>
        <w:t xml:space="preserve">The increased complexity of the demands placed on the public sector and the approach aiming at developing market-like responses to the bureaucratic structure’s apparent failings have led to the emergence of increasingly important public-private links in the delivery and production of goods and services. Including policy advisory ones. This leads to needs for accountability (both external and internal) and management of the resources involved and products delivered. However, the organizations that have emerged from the reshaping of NPM are not so much new organizations as hybrid ones (Courpasson and Clegg 2006) and the reality of outsourcing practices within the so-called ‘contract state’ is not always as successful or as up-to-date as adherents of this model allege (Cordella and Willcoks 2010). Communication and cooperation within organizational structures was and remains a very important part of the development and implementation of successful public policy (Stoker 1989; Goggin et al 1990; Ostrom 1998). </w:t>
      </w:r>
      <w:r w:rsidR="0076170D">
        <w:rPr>
          <w:rFonts w:ascii="Times New Roman" w:hAnsi="Times New Roman"/>
        </w:rPr>
        <w:t>Furthermore, as H</w:t>
      </w:r>
      <w:r w:rsidR="0076170D" w:rsidRPr="006B02EA">
        <w:rPr>
          <w:rFonts w:ascii="Times New Roman" w:hAnsi="Times New Roman"/>
        </w:rPr>
        <w:t xml:space="preserve">odge and Bowman (2006: 99) </w:t>
      </w:r>
      <w:r w:rsidR="0076170D">
        <w:rPr>
          <w:rFonts w:ascii="Times New Roman" w:hAnsi="Times New Roman"/>
        </w:rPr>
        <w:t xml:space="preserve">note, the use of consultants in policy advice provisions involves the important re-direction of policy content away from government and towards non-governmental actors who operate under different rules and conceptions concerning the nature of good governance and appropriate levels and </w:t>
      </w:r>
      <w:r w:rsidR="0076170D">
        <w:rPr>
          <w:rFonts w:ascii="Times New Roman" w:hAnsi="Times New Roman"/>
        </w:rPr>
        <w:t>types of governmental activity.</w:t>
      </w:r>
    </w:p>
    <w:p w14:paraId="79CA97C6" w14:textId="7982015C" w:rsidR="0076170D" w:rsidRDefault="0076170D" w:rsidP="0076170D">
      <w:pPr>
        <w:spacing w:line="480" w:lineRule="auto"/>
        <w:ind w:firstLine="720"/>
        <w:jc w:val="both"/>
        <w:rPr>
          <w:rFonts w:ascii="Times New Roman" w:hAnsi="Times New Roman"/>
        </w:rPr>
      </w:pPr>
      <w:r>
        <w:rPr>
          <w:rFonts w:ascii="Times New Roman" w:hAnsi="Times New Roman"/>
        </w:rPr>
        <w:t>These implications and</w:t>
      </w:r>
      <w:r>
        <w:rPr>
          <w:rFonts w:ascii="Times New Roman" w:hAnsi="Times New Roman"/>
        </w:rPr>
        <w:t xml:space="preserve"> effect of consulting work </w:t>
      </w:r>
      <w:r>
        <w:rPr>
          <w:rFonts w:ascii="Times New Roman" w:hAnsi="Times New Roman"/>
        </w:rPr>
        <w:t>require deta</w:t>
      </w:r>
      <w:r>
        <w:rPr>
          <w:rFonts w:ascii="Times New Roman" w:hAnsi="Times New Roman"/>
        </w:rPr>
        <w:t>iled investigation and analysis and t</w:t>
      </w:r>
      <w:r w:rsidR="00ED52CA">
        <w:rPr>
          <w:rFonts w:ascii="Times New Roman" w:hAnsi="Times New Roman"/>
        </w:rPr>
        <w:t xml:space="preserve">he results of this survey allow us to make statements about the </w:t>
      </w:r>
      <w:r w:rsidR="00274BEC">
        <w:rPr>
          <w:rFonts w:ascii="Times New Roman" w:hAnsi="Times New Roman"/>
        </w:rPr>
        <w:t xml:space="preserve">way in which managers </w:t>
      </w:r>
      <w:r w:rsidR="00EF59C3">
        <w:rPr>
          <w:rFonts w:ascii="Times New Roman" w:hAnsi="Times New Roman"/>
        </w:rPr>
        <w:t xml:space="preserve">in Canadian </w:t>
      </w:r>
      <w:r w:rsidR="00274BEC">
        <w:rPr>
          <w:rFonts w:ascii="Times New Roman" w:hAnsi="Times New Roman"/>
        </w:rPr>
        <w:t>government</w:t>
      </w:r>
      <w:r w:rsidR="00EF59C3">
        <w:rPr>
          <w:rFonts w:ascii="Times New Roman" w:hAnsi="Times New Roman"/>
        </w:rPr>
        <w:t>s</w:t>
      </w:r>
      <w:r w:rsidR="00274BEC">
        <w:rPr>
          <w:rFonts w:ascii="Times New Roman" w:hAnsi="Times New Roman"/>
        </w:rPr>
        <w:t xml:space="preserve"> perceive </w:t>
      </w:r>
      <w:r w:rsidR="00EF59C3">
        <w:rPr>
          <w:rFonts w:ascii="Times New Roman" w:hAnsi="Times New Roman"/>
        </w:rPr>
        <w:t xml:space="preserve">of, and engage in, </w:t>
      </w:r>
      <w:r w:rsidR="00274BEC">
        <w:rPr>
          <w:rFonts w:ascii="Times New Roman" w:hAnsi="Times New Roman"/>
        </w:rPr>
        <w:t xml:space="preserve">policy consulting processes. </w:t>
      </w:r>
      <w:r>
        <w:rPr>
          <w:rFonts w:ascii="Times New Roman" w:hAnsi="Times New Roman"/>
        </w:rPr>
        <w:t>W</w:t>
      </w:r>
      <w:r>
        <w:rPr>
          <w:rFonts w:ascii="Times New Roman" w:hAnsi="Times New Roman"/>
        </w:rPr>
        <w:t>e argue that the current organizational and process models within governments related to the management of policy consulting services do not appear to be optimally designed to capture all the potential benefits of these efforts and to deal with the challenges of the new models of contract work (Tempest and Starkey 2004). As contractual relations increasing move from the old relational model towards a more transactional one based on temporariness, financial calculation and narrow focuses (Inkson et al 2001: 261), leading to a reduction in trust between organizations and individuals (Feldmann 2000), mainly financial approaches to contracting management and control are increasingly insufficient.</w:t>
      </w:r>
    </w:p>
    <w:p w14:paraId="5A424513" w14:textId="77777777" w:rsidR="00C8326D" w:rsidRDefault="00274BEC" w:rsidP="00E63379">
      <w:pPr>
        <w:spacing w:line="480" w:lineRule="auto"/>
        <w:ind w:firstLine="720"/>
        <w:jc w:val="both"/>
        <w:rPr>
          <w:rFonts w:ascii="Times New Roman" w:hAnsi="Times New Roman"/>
        </w:rPr>
      </w:pPr>
      <w:r>
        <w:rPr>
          <w:rFonts w:ascii="Times New Roman" w:hAnsi="Times New Roman"/>
        </w:rPr>
        <w:t>In particular, we found that cost was not the all-encompassing concern that early New Public Management made it out to be</w:t>
      </w:r>
      <w:r w:rsidR="00EF59C3">
        <w:rPr>
          <w:rFonts w:ascii="Times New Roman" w:hAnsi="Times New Roman"/>
        </w:rPr>
        <w:t xml:space="preserve"> and does not deserve to be the almost exclusive focus of attention of most government inquiries.</w:t>
      </w:r>
      <w:r>
        <w:rPr>
          <w:rFonts w:ascii="Times New Roman" w:hAnsi="Times New Roman"/>
        </w:rPr>
        <w:t xml:space="preserve"> </w:t>
      </w:r>
      <w:r w:rsidR="00EF59C3">
        <w:rPr>
          <w:rFonts w:ascii="Times New Roman" w:hAnsi="Times New Roman"/>
        </w:rPr>
        <w:t>R</w:t>
      </w:r>
      <w:r w:rsidR="00B1749F">
        <w:rPr>
          <w:rFonts w:ascii="Times New Roman" w:hAnsi="Times New Roman"/>
        </w:rPr>
        <w:t xml:space="preserve">elatively little is done in terms of sharing information about consultants’ fees and capacity, two areas that would seem at first blush to be important even to the purely ‘accounting’ side of the issue. </w:t>
      </w:r>
    </w:p>
    <w:p w14:paraId="58BDCFC8" w14:textId="110A068D" w:rsidR="00E14CC0" w:rsidRDefault="00B1749F" w:rsidP="00D72F0A">
      <w:pPr>
        <w:spacing w:line="480" w:lineRule="auto"/>
        <w:jc w:val="both"/>
        <w:rPr>
          <w:rFonts w:ascii="Times New Roman" w:hAnsi="Times New Roman"/>
        </w:rPr>
      </w:pPr>
      <w:r>
        <w:rPr>
          <w:rFonts w:ascii="Times New Roman" w:hAnsi="Times New Roman"/>
        </w:rPr>
        <w:tab/>
      </w:r>
      <w:r w:rsidR="00EF59C3">
        <w:rPr>
          <w:rFonts w:ascii="Times New Roman" w:hAnsi="Times New Roman"/>
        </w:rPr>
        <w:t>This supports</w:t>
      </w:r>
      <w:r>
        <w:rPr>
          <w:rFonts w:ascii="Times New Roman" w:hAnsi="Times New Roman"/>
        </w:rPr>
        <w:t xml:space="preserve"> our argument that the current </w:t>
      </w:r>
      <w:r w:rsidR="00EF59C3">
        <w:rPr>
          <w:rFonts w:ascii="Times New Roman" w:hAnsi="Times New Roman"/>
        </w:rPr>
        <w:t>focus</w:t>
      </w:r>
      <w:r>
        <w:rPr>
          <w:rFonts w:ascii="Times New Roman" w:hAnsi="Times New Roman"/>
        </w:rPr>
        <w:t xml:space="preserve"> of accountability </w:t>
      </w:r>
      <w:r w:rsidR="00EF59C3">
        <w:rPr>
          <w:rFonts w:ascii="Times New Roman" w:hAnsi="Times New Roman"/>
        </w:rPr>
        <w:t>measures and studies l</w:t>
      </w:r>
      <w:r>
        <w:rPr>
          <w:rFonts w:ascii="Times New Roman" w:hAnsi="Times New Roman"/>
        </w:rPr>
        <w:t xml:space="preserve">argely built upon the values and premises of New Public Management </w:t>
      </w:r>
      <w:r w:rsidR="00EF59C3">
        <w:rPr>
          <w:rFonts w:ascii="Times New Roman" w:hAnsi="Times New Roman"/>
        </w:rPr>
        <w:t xml:space="preserve">ideas and associated notions of </w:t>
      </w:r>
      <w:r>
        <w:rPr>
          <w:rFonts w:ascii="Times New Roman" w:hAnsi="Times New Roman"/>
        </w:rPr>
        <w:t>public go</w:t>
      </w:r>
      <w:r w:rsidR="00EF59C3">
        <w:rPr>
          <w:rFonts w:ascii="Times New Roman" w:hAnsi="Times New Roman"/>
        </w:rPr>
        <w:t xml:space="preserve">vernance best practices are </w:t>
      </w:r>
      <w:r>
        <w:rPr>
          <w:rFonts w:ascii="Times New Roman" w:hAnsi="Times New Roman"/>
        </w:rPr>
        <w:t xml:space="preserve">of limited use when the services considered are </w:t>
      </w:r>
      <w:r w:rsidR="000D1589">
        <w:rPr>
          <w:rFonts w:ascii="Times New Roman" w:hAnsi="Times New Roman"/>
        </w:rPr>
        <w:t xml:space="preserve">more complex, professional ones like </w:t>
      </w:r>
      <w:r>
        <w:rPr>
          <w:rFonts w:ascii="Times New Roman" w:hAnsi="Times New Roman"/>
        </w:rPr>
        <w:t xml:space="preserve">policy </w:t>
      </w:r>
      <w:r w:rsidR="00EF59C3">
        <w:rPr>
          <w:rFonts w:ascii="Times New Roman" w:hAnsi="Times New Roman"/>
        </w:rPr>
        <w:t>or management</w:t>
      </w:r>
      <w:r w:rsidR="000D1589">
        <w:rPr>
          <w:rFonts w:ascii="Times New Roman" w:hAnsi="Times New Roman"/>
        </w:rPr>
        <w:t xml:space="preserve"> consulting</w:t>
      </w:r>
      <w:r>
        <w:rPr>
          <w:rFonts w:ascii="Times New Roman" w:hAnsi="Times New Roman"/>
        </w:rPr>
        <w:t>.</w:t>
      </w:r>
      <w:r w:rsidR="000D1589">
        <w:rPr>
          <w:rFonts w:ascii="Times New Roman" w:hAnsi="Times New Roman"/>
        </w:rPr>
        <w:t xml:space="preserve"> </w:t>
      </w:r>
      <w:r w:rsidR="00BC22CF">
        <w:rPr>
          <w:rFonts w:ascii="Times New Roman" w:hAnsi="Times New Roman"/>
        </w:rPr>
        <w:t xml:space="preserve">It is also interesting to note that the larger the percentage of a budget that is directly supervised by one of the policy managers, the more likely these actors are to seek the type of qualitative improvements (sharing of information, attention to pre-existing skills within the public administration and so forth) that are instead less of a priority among managers who directly supervise smaller percentages of the consultancy budget. </w:t>
      </w:r>
      <w:r w:rsidR="00E63379">
        <w:rPr>
          <w:rFonts w:ascii="Times New Roman" w:hAnsi="Times New Roman"/>
        </w:rPr>
        <w:tab/>
      </w:r>
    </w:p>
    <w:p w14:paraId="04D9184E" w14:textId="2533501A" w:rsidR="00BE349B" w:rsidRDefault="0076170D" w:rsidP="000543B8">
      <w:pPr>
        <w:spacing w:line="480" w:lineRule="auto"/>
        <w:ind w:firstLine="720"/>
        <w:jc w:val="both"/>
        <w:rPr>
          <w:rFonts w:ascii="Times New Roman" w:hAnsi="Times New Roman"/>
        </w:rPr>
      </w:pPr>
      <w:r>
        <w:rPr>
          <w:rFonts w:ascii="Times New Roman" w:hAnsi="Times New Roman" w:cs="Times New Roman"/>
          <w:noProof/>
        </w:rPr>
        <w:t>Overall, this means t</w:t>
      </w:r>
      <w:r w:rsidR="00CA49E2">
        <w:rPr>
          <w:rFonts w:ascii="Times New Roman" w:hAnsi="Times New Roman" w:cs="Times New Roman"/>
          <w:noProof/>
        </w:rPr>
        <w:t>he approach to evaluating consulting activity found in most current government reports is the result of a specific framing of governmental approach</w:t>
      </w:r>
      <w:r>
        <w:rPr>
          <w:rFonts w:ascii="Times New Roman" w:hAnsi="Times New Roman" w:cs="Times New Roman"/>
          <w:noProof/>
        </w:rPr>
        <w:t>es</w:t>
      </w:r>
      <w:r w:rsidR="00CA49E2">
        <w:rPr>
          <w:rFonts w:ascii="Times New Roman" w:hAnsi="Times New Roman" w:cs="Times New Roman"/>
          <w:noProof/>
        </w:rPr>
        <w:t xml:space="preserve"> to the question of consulting. T</w:t>
      </w:r>
      <w:r w:rsidR="00CA49E2">
        <w:rPr>
          <w:rFonts w:ascii="Times New Roman" w:hAnsi="Times New Roman"/>
        </w:rPr>
        <w:t xml:space="preserve">his ‘auditing’ approach involves an overly simple assumption that in order to maximize the results of contracting out, financial waste and nepotistic and other kinds of poor contracting practices much be avoided (Brown, Potoski and van Slyke 2006). </w:t>
      </w:r>
      <w:r w:rsidR="00BE349B">
        <w:rPr>
          <w:rFonts w:ascii="Times New Roman" w:hAnsi="Times New Roman"/>
        </w:rPr>
        <w:t>This focus may be efficient (although not always as we saw in this survey) in terms of addressing accountability issues, but it leaves little space for the development of a model of resource management and knowledge creation that a bureaucracy heavily reliant upon consulting will need.</w:t>
      </w:r>
    </w:p>
    <w:p w14:paraId="11137326" w14:textId="77777777" w:rsidR="00104316" w:rsidRPr="00164415" w:rsidRDefault="00104316" w:rsidP="00D72F0A">
      <w:pPr>
        <w:spacing w:line="480" w:lineRule="auto"/>
        <w:jc w:val="both"/>
        <w:rPr>
          <w:rFonts w:ascii="Times New Roman" w:hAnsi="Times New Roman"/>
          <w:b/>
        </w:rPr>
        <w:sectPr w:rsidR="00104316" w:rsidRPr="00164415">
          <w:footerReference w:type="even" r:id="rId21"/>
          <w:footerReference w:type="default" r:id="rId22"/>
          <w:endnotePr>
            <w:numFmt w:val="decimal"/>
          </w:endnotePr>
          <w:pgSz w:w="12240" w:h="15840"/>
          <w:pgMar w:top="1440" w:right="1800" w:bottom="1440" w:left="1800" w:header="708" w:footer="708" w:gutter="0"/>
          <w:cols w:space="708"/>
        </w:sectPr>
      </w:pPr>
      <w:r w:rsidRPr="00164415">
        <w:rPr>
          <w:rFonts w:ascii="Times New Roman" w:hAnsi="Times New Roman"/>
          <w:b/>
        </w:rPr>
        <w:t>Endnotes</w:t>
      </w:r>
    </w:p>
    <w:p w14:paraId="323531FA" w14:textId="77777777" w:rsidR="00C8326D" w:rsidRDefault="00C8326D" w:rsidP="004A1E65">
      <w:pPr>
        <w:spacing w:line="480" w:lineRule="auto"/>
        <w:jc w:val="both"/>
        <w:rPr>
          <w:rFonts w:ascii="Times New Roman" w:hAnsi="Times New Roman"/>
        </w:rPr>
      </w:pPr>
    </w:p>
    <w:p w14:paraId="3DCB0E00" w14:textId="77777777" w:rsidR="00C8326D" w:rsidRPr="008B0A1E" w:rsidRDefault="00C8326D" w:rsidP="00A01348">
      <w:pPr>
        <w:spacing w:line="360" w:lineRule="auto"/>
        <w:jc w:val="both"/>
        <w:rPr>
          <w:rFonts w:ascii="Times New Roman" w:hAnsi="Times New Roman"/>
        </w:rPr>
      </w:pPr>
      <w:r w:rsidRPr="008B0A1E">
        <w:rPr>
          <w:rFonts w:ascii="Times New Roman" w:hAnsi="Times New Roman"/>
          <w:b/>
        </w:rPr>
        <w:t>References:</w:t>
      </w:r>
    </w:p>
    <w:p w14:paraId="31E4E919" w14:textId="77777777" w:rsidR="00F322EA" w:rsidRPr="00CA49E2" w:rsidRDefault="008B0A1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ANAO. 2001. Developing Policy Advice, Auditor-General Audit Report No. 21 2001-2002 Performance Audit. Canberra: Australian National Audit Office.</w:t>
      </w:r>
    </w:p>
    <w:p w14:paraId="35CF286B" w14:textId="77777777" w:rsidR="00F322EA" w:rsidRPr="00CA49E2" w:rsidRDefault="00F322EA"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Auditor General of Canada 2012a. Report of the Auditor General of Canada to the Standing Senate Committee on Internal Economy, Budgets and Administration. Administration of the Senate of Canada. Ottawa: Auditor General.</w:t>
      </w:r>
    </w:p>
    <w:p w14:paraId="674E5D85" w14:textId="77777777" w:rsidR="008B0A1E" w:rsidRPr="00CA49E2" w:rsidRDefault="00F322EA"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Auditor General of Canada 2012b. Report of the Auditor General of Canada to the Board of Internal Economy of the House of Commons. Administration of the House of Commons of Canada. Ottawa: Auditor General.</w:t>
      </w:r>
    </w:p>
    <w:p w14:paraId="4466B08D" w14:textId="77777777" w:rsidR="00305FE3" w:rsidRPr="00CA49E2" w:rsidRDefault="008B0A1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Bakvis, Herman. 1997. “Advising the Executive: Think Tanks, Consultants, Political Staff and Kitchen Cabinets.” In The Hollow Crown: Countervailing Trends in Core Executives, eds. Patrick Weller, Herman Bakvis, and R A W Rhodes. New York: St. Martin’s Press.</w:t>
      </w:r>
    </w:p>
    <w:p w14:paraId="328FE704" w14:textId="77777777" w:rsidR="008F22ED" w:rsidRPr="00CA49E2" w:rsidRDefault="00305FE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Bakvis, Herman 2000. “Rebuilding Policy Capacity in the Era of the Fiscal Dividend: A Report from Canada.” Governance</w:t>
      </w:r>
      <w:r w:rsidR="00B54ADF" w:rsidRPr="00CA49E2">
        <w:rPr>
          <w:rFonts w:ascii="Times New Roman" w:hAnsi="Times New Roman" w:cs="Times New Roman"/>
          <w:sz w:val="22"/>
          <w:szCs w:val="22"/>
        </w:rPr>
        <w:t>, 13(1):</w:t>
      </w:r>
      <w:r w:rsidRPr="00CA49E2">
        <w:rPr>
          <w:rFonts w:ascii="Times New Roman" w:hAnsi="Times New Roman" w:cs="Times New Roman"/>
          <w:sz w:val="22"/>
          <w:szCs w:val="22"/>
        </w:rPr>
        <w:t xml:space="preserve"> 71-103.</w:t>
      </w:r>
    </w:p>
    <w:p w14:paraId="559E5D78" w14:textId="77777777" w:rsidR="00D901C6" w:rsidRDefault="00D901C6"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Bennett, C. J., and Michael</w:t>
      </w:r>
      <w:r w:rsidR="008F22ED" w:rsidRPr="00CA49E2">
        <w:rPr>
          <w:rFonts w:ascii="Times New Roman" w:hAnsi="Times New Roman" w:cs="Times New Roman"/>
          <w:sz w:val="22"/>
          <w:szCs w:val="22"/>
        </w:rPr>
        <w:t xml:space="preserve"> Howlett. </w:t>
      </w:r>
      <w:r>
        <w:rPr>
          <w:rFonts w:ascii="Times New Roman" w:hAnsi="Times New Roman" w:cs="Times New Roman"/>
          <w:sz w:val="22"/>
          <w:szCs w:val="22"/>
        </w:rPr>
        <w:t xml:space="preserve">1992. </w:t>
      </w:r>
      <w:r w:rsidR="008F22ED" w:rsidRPr="00CA49E2">
        <w:rPr>
          <w:rFonts w:ascii="Times New Roman" w:hAnsi="Times New Roman" w:cs="Times New Roman"/>
          <w:sz w:val="22"/>
          <w:szCs w:val="22"/>
        </w:rPr>
        <w:t>“The Lessons of Learning: Reconciling Theories of Policy Learning and Policy C</w:t>
      </w:r>
      <w:r>
        <w:rPr>
          <w:rFonts w:ascii="Times New Roman" w:hAnsi="Times New Roman" w:cs="Times New Roman"/>
          <w:sz w:val="22"/>
          <w:szCs w:val="22"/>
        </w:rPr>
        <w:t>hange.” Policy Sciences 25(3</w:t>
      </w:r>
      <w:r w:rsidR="008F22ED" w:rsidRPr="00CA49E2">
        <w:rPr>
          <w:rFonts w:ascii="Times New Roman" w:hAnsi="Times New Roman" w:cs="Times New Roman"/>
          <w:sz w:val="22"/>
          <w:szCs w:val="22"/>
        </w:rPr>
        <w:t>): 275–</w:t>
      </w:r>
      <w:r>
        <w:rPr>
          <w:rFonts w:ascii="Times New Roman" w:hAnsi="Times New Roman" w:cs="Times New Roman"/>
          <w:sz w:val="22"/>
          <w:szCs w:val="22"/>
        </w:rPr>
        <w:t>2</w:t>
      </w:r>
      <w:r w:rsidR="008F22ED" w:rsidRPr="00CA49E2">
        <w:rPr>
          <w:rFonts w:ascii="Times New Roman" w:hAnsi="Times New Roman" w:cs="Times New Roman"/>
          <w:sz w:val="22"/>
          <w:szCs w:val="22"/>
        </w:rPr>
        <w:t>94.</w:t>
      </w:r>
    </w:p>
    <w:p w14:paraId="37749657" w14:textId="77777777" w:rsidR="00CC7552" w:rsidRDefault="00D901C6"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Bloomfield Brian P. and Ardha Best. 1992. “Management Consultants: Systems Development, Power and the Translation of P</w:t>
      </w:r>
      <w:r w:rsidRPr="00D901C6">
        <w:rPr>
          <w:rFonts w:ascii="Times New Roman" w:hAnsi="Times New Roman" w:cs="Times New Roman"/>
          <w:sz w:val="22"/>
          <w:szCs w:val="22"/>
        </w:rPr>
        <w:t>roblems</w:t>
      </w:r>
      <w:r>
        <w:rPr>
          <w:rFonts w:ascii="Times New Roman" w:hAnsi="Times New Roman" w:cs="Times New Roman"/>
          <w:sz w:val="22"/>
          <w:szCs w:val="22"/>
        </w:rPr>
        <w:t>.” The Sociological Review 40(3): 533-560.</w:t>
      </w:r>
    </w:p>
    <w:p w14:paraId="0EB867F7" w14:textId="77777777" w:rsidR="008F22ED" w:rsidRPr="00CA49E2" w:rsidRDefault="00CC7552"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Bloomfield Brian P. and Ardha Danieli 1995. “The Role of Management Consultants in the Development of Information Technology: The Indissoluble Nature of Socio-Political and Technical Skills.” Journal of Management Studies 32(1): 23-46.</w:t>
      </w:r>
    </w:p>
    <w:p w14:paraId="537938D5" w14:textId="77777777" w:rsidR="0066682E" w:rsidRPr="00CA49E2" w:rsidRDefault="00305FE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Boston, J. 1994. “Purchasing Policy Advice: The Limits to Contracting Out.” Governance 7(1): 1-30.</w:t>
      </w:r>
    </w:p>
    <w:p w14:paraId="6C8635DE" w14:textId="77777777" w:rsidR="00DC6CA1" w:rsidRPr="00CA49E2" w:rsidRDefault="0066682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Brint, Steven. 1990. “Rethinking the Policy Influence of Experts: From General Characterizations to Analysis of Variation.” Sociological Forum 5(3): 361-385.</w:t>
      </w:r>
    </w:p>
    <w:p w14:paraId="73CD7477" w14:textId="77777777" w:rsidR="00DC6CA1" w:rsidRPr="00CA49E2" w:rsidRDefault="00DC6CA1"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Brown, Trevor L., Matthew Potoski, and David M. Van Slyke. 2006. “Managing Public Service Contracts: Aligning Values, Institutions, and Markets.” Public Administration Review 66 (3): 323–331.</w:t>
      </w:r>
    </w:p>
    <w:p w14:paraId="2BF9EBF2" w14:textId="77777777" w:rsidR="00B54ADF" w:rsidRPr="00CA49E2" w:rsidRDefault="00B54ADF"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Clark, Timothy. 1995. Managing Consultants: Consultancy As the Management of Impressions. Open University Press.</w:t>
      </w:r>
    </w:p>
    <w:p w14:paraId="2DDD805A" w14:textId="77777777" w:rsidR="00C04D75" w:rsidRDefault="00B54ADF"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Clark, Timothy, and Salaman, Graeme. 1996. “Telling Tales: Management Consultancy as the Art of Story Telling.” In M</w:t>
      </w:r>
      <w:r w:rsidRPr="00EE46F5">
        <w:rPr>
          <w:rFonts w:ascii="Times New Roman" w:hAnsi="Times New Roman" w:cs="Times New Roman"/>
          <w:sz w:val="22"/>
          <w:szCs w:val="22"/>
        </w:rPr>
        <w:t>etaphor and Organizations, eds. David Grant and Clifford Oswick, 166-183. Sage Publications Ltd, 1996.</w:t>
      </w:r>
    </w:p>
    <w:p w14:paraId="2591C394" w14:textId="77777777" w:rsidR="00544ED2" w:rsidRPr="00EE46F5" w:rsidRDefault="00544ED2" w:rsidP="00544ED2">
      <w:pPr>
        <w:ind w:left="567" w:hanging="567"/>
        <w:jc w:val="both"/>
        <w:rPr>
          <w:rFonts w:ascii="Times New Roman" w:hAnsi="Times New Roman" w:cs="Times New Roman"/>
          <w:sz w:val="22"/>
          <w:szCs w:val="22"/>
        </w:rPr>
      </w:pPr>
      <w:r>
        <w:rPr>
          <w:rFonts w:ascii="Times New Roman" w:hAnsi="Times New Roman" w:cs="Times New Roman"/>
          <w:sz w:val="22"/>
          <w:szCs w:val="22"/>
        </w:rPr>
        <w:t>Cordella, Antonio and Willcocks, Leslie. 2010. “Outsourcing, Bureaucracy and Public Value: Reappraising the N</w:t>
      </w:r>
      <w:r w:rsidRPr="00544ED2">
        <w:rPr>
          <w:rFonts w:ascii="Times New Roman" w:hAnsi="Times New Roman" w:cs="Times New Roman"/>
          <w:sz w:val="22"/>
          <w:szCs w:val="22"/>
        </w:rPr>
        <w:t>otion of the</w:t>
      </w:r>
      <w:r>
        <w:rPr>
          <w:rFonts w:ascii="Times New Roman" w:hAnsi="Times New Roman" w:cs="Times New Roman"/>
          <w:sz w:val="22"/>
          <w:szCs w:val="22"/>
        </w:rPr>
        <w:t xml:space="preserve"> “C</w:t>
      </w:r>
      <w:r w:rsidRPr="00544ED2">
        <w:rPr>
          <w:rFonts w:ascii="Times New Roman" w:hAnsi="Times New Roman" w:cs="Times New Roman"/>
          <w:sz w:val="22"/>
          <w:szCs w:val="22"/>
        </w:rPr>
        <w:t xml:space="preserve">ontract </w:t>
      </w:r>
      <w:r>
        <w:rPr>
          <w:rFonts w:ascii="Times New Roman" w:hAnsi="Times New Roman" w:cs="Times New Roman"/>
          <w:sz w:val="22"/>
          <w:szCs w:val="22"/>
        </w:rPr>
        <w:t>S</w:t>
      </w:r>
      <w:r w:rsidRPr="00544ED2">
        <w:rPr>
          <w:rFonts w:ascii="Times New Roman" w:hAnsi="Times New Roman" w:cs="Times New Roman"/>
          <w:sz w:val="22"/>
          <w:szCs w:val="22"/>
        </w:rPr>
        <w:t>tate”</w:t>
      </w:r>
      <w:r>
        <w:rPr>
          <w:rFonts w:ascii="Times New Roman" w:hAnsi="Times New Roman" w:cs="Times New Roman"/>
          <w:sz w:val="22"/>
          <w:szCs w:val="22"/>
        </w:rPr>
        <w:t>.” Government Information Quarterly 27: 82-88.</w:t>
      </w:r>
    </w:p>
    <w:p w14:paraId="6408D829" w14:textId="77777777" w:rsidR="00EE46F5" w:rsidRPr="00EE46F5" w:rsidRDefault="00EE46F5" w:rsidP="00D901C6">
      <w:pPr>
        <w:ind w:left="567" w:hanging="567"/>
        <w:jc w:val="both"/>
        <w:rPr>
          <w:rFonts w:ascii="Times New Roman" w:hAnsi="Times New Roman" w:cs="Times New Roman"/>
          <w:sz w:val="22"/>
          <w:szCs w:val="22"/>
        </w:rPr>
      </w:pPr>
      <w:r w:rsidRPr="00EE46F5">
        <w:rPr>
          <w:rFonts w:ascii="Times New Roman" w:hAnsi="Times New Roman" w:cs="Times New Roman"/>
          <w:color w:val="211D1E"/>
          <w:sz w:val="22"/>
          <w:szCs w:val="18"/>
        </w:rPr>
        <w:t>Courpasson D</w:t>
      </w:r>
      <w:r>
        <w:rPr>
          <w:rFonts w:ascii="Times New Roman" w:hAnsi="Times New Roman" w:cs="Times New Roman"/>
          <w:color w:val="211D1E"/>
          <w:sz w:val="22"/>
          <w:szCs w:val="18"/>
        </w:rPr>
        <w:t>.</w:t>
      </w:r>
      <w:r w:rsidRPr="00EE46F5">
        <w:rPr>
          <w:rFonts w:ascii="Times New Roman" w:hAnsi="Times New Roman" w:cs="Times New Roman"/>
          <w:color w:val="211D1E"/>
          <w:sz w:val="22"/>
          <w:szCs w:val="18"/>
        </w:rPr>
        <w:t xml:space="preserve"> and Clegg S</w:t>
      </w:r>
      <w:r>
        <w:rPr>
          <w:rFonts w:ascii="Times New Roman" w:hAnsi="Times New Roman" w:cs="Times New Roman"/>
          <w:color w:val="211D1E"/>
          <w:sz w:val="22"/>
          <w:szCs w:val="18"/>
        </w:rPr>
        <w:t>.</w:t>
      </w:r>
      <w:r w:rsidRPr="00EE46F5">
        <w:rPr>
          <w:rFonts w:ascii="Times New Roman" w:hAnsi="Times New Roman" w:cs="Times New Roman"/>
          <w:color w:val="211D1E"/>
          <w:sz w:val="22"/>
          <w:szCs w:val="18"/>
        </w:rPr>
        <w:t xml:space="preserve"> </w:t>
      </w:r>
      <w:r>
        <w:rPr>
          <w:rFonts w:ascii="Times New Roman" w:hAnsi="Times New Roman" w:cs="Times New Roman"/>
          <w:color w:val="211D1E"/>
          <w:sz w:val="22"/>
          <w:szCs w:val="18"/>
        </w:rPr>
        <w:t>2006.</w:t>
      </w:r>
      <w:r w:rsidR="00544ED2">
        <w:rPr>
          <w:rFonts w:ascii="Times New Roman" w:hAnsi="Times New Roman" w:cs="Times New Roman"/>
          <w:color w:val="211D1E"/>
          <w:sz w:val="22"/>
          <w:szCs w:val="18"/>
        </w:rPr>
        <w:t xml:space="preserve"> “Dissolving the Iron Cages? Tocqueville, Michels, Bureaucracy and the Perpetuation of Elite P</w:t>
      </w:r>
      <w:r w:rsidRPr="00EE46F5">
        <w:rPr>
          <w:rFonts w:ascii="Times New Roman" w:hAnsi="Times New Roman" w:cs="Times New Roman"/>
          <w:color w:val="211D1E"/>
          <w:sz w:val="22"/>
          <w:szCs w:val="18"/>
        </w:rPr>
        <w:t>ower.</w:t>
      </w:r>
      <w:r w:rsidR="00544ED2">
        <w:rPr>
          <w:rFonts w:ascii="Times New Roman" w:hAnsi="Times New Roman" w:cs="Times New Roman"/>
          <w:color w:val="211D1E"/>
          <w:sz w:val="22"/>
          <w:szCs w:val="18"/>
        </w:rPr>
        <w:t>”</w:t>
      </w:r>
      <w:r w:rsidRPr="00EE46F5">
        <w:rPr>
          <w:rFonts w:ascii="Times New Roman" w:hAnsi="Times New Roman" w:cs="Times New Roman"/>
          <w:color w:val="211D1E"/>
          <w:sz w:val="22"/>
          <w:szCs w:val="18"/>
        </w:rPr>
        <w:t xml:space="preserve"> </w:t>
      </w:r>
      <w:r w:rsidRPr="00EE46F5">
        <w:rPr>
          <w:rFonts w:ascii="Times New Roman" w:hAnsi="Times New Roman" w:cs="Times New Roman"/>
          <w:i/>
          <w:iCs/>
          <w:color w:val="211D1E"/>
          <w:sz w:val="22"/>
          <w:szCs w:val="18"/>
        </w:rPr>
        <w:t xml:space="preserve">Organization </w:t>
      </w:r>
      <w:r w:rsidRPr="00EE46F5">
        <w:rPr>
          <w:rFonts w:ascii="Times New Roman" w:hAnsi="Times New Roman" w:cs="Times New Roman"/>
          <w:color w:val="211D1E"/>
          <w:sz w:val="22"/>
          <w:szCs w:val="18"/>
        </w:rPr>
        <w:t>13(3): 319–343.</w:t>
      </w:r>
    </w:p>
    <w:p w14:paraId="42597D1A" w14:textId="77777777" w:rsidR="00C04D75" w:rsidRPr="00CA49E2" w:rsidRDefault="00C04D75"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Czarniawska, Barbara, and Mazza, Carmelo. 2003. “Consulting as a Liminal Space.” Human Relations 56(3): 267-290.</w:t>
      </w:r>
    </w:p>
    <w:p w14:paraId="7E2130F9" w14:textId="77777777" w:rsidR="000D226F" w:rsidRPr="00CA49E2" w:rsidRDefault="00C04D75"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Ernst, Berit, and Kieser, Alfred. 2002. “In Search of Explanations for the Consulting Explosion.” In The Expansion of Management Knowledge: Carriers, Flows, and Sources, eds.  Kerstin Sahlin-Andersson and Lars Engwall, 1st ed. Stanford</w:t>
      </w:r>
      <w:r w:rsidR="000D226F" w:rsidRPr="00CA49E2">
        <w:rPr>
          <w:rFonts w:ascii="Times New Roman" w:hAnsi="Times New Roman" w:cs="Times New Roman"/>
          <w:sz w:val="22"/>
          <w:szCs w:val="22"/>
        </w:rPr>
        <w:t>: Stanford University Press: 47-72.</w:t>
      </w:r>
    </w:p>
    <w:p w14:paraId="5A60BB30" w14:textId="77777777" w:rsidR="00510E99" w:rsidRDefault="002A488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FEACO. 2011. Survey of the European Management Consultancy. Pécs: Research Center on Management and Human Resource Management, University of Pécs</w:t>
      </w:r>
      <w:r w:rsidR="00510E99">
        <w:rPr>
          <w:rFonts w:ascii="Times New Roman" w:hAnsi="Times New Roman" w:cs="Times New Roman"/>
          <w:sz w:val="22"/>
          <w:szCs w:val="22"/>
        </w:rPr>
        <w:t>.</w:t>
      </w:r>
    </w:p>
    <w:p w14:paraId="4BFA0EA8" w14:textId="2519DD0D" w:rsidR="00CC7552" w:rsidRDefault="00510E99" w:rsidP="00510E99">
      <w:pPr>
        <w:ind w:left="567" w:hanging="567"/>
        <w:jc w:val="both"/>
        <w:rPr>
          <w:rFonts w:ascii="Times New Roman" w:hAnsi="Times New Roman" w:cs="Times New Roman"/>
          <w:sz w:val="22"/>
          <w:szCs w:val="22"/>
        </w:rPr>
      </w:pPr>
      <w:r w:rsidRPr="00510E99">
        <w:rPr>
          <w:rFonts w:ascii="Times New Roman" w:hAnsi="Times New Roman" w:cs="Times New Roman"/>
          <w:sz w:val="22"/>
          <w:szCs w:val="22"/>
        </w:rPr>
        <w:t>Feldman, Daniel</w:t>
      </w:r>
      <w:r>
        <w:rPr>
          <w:rFonts w:ascii="Times New Roman" w:hAnsi="Times New Roman" w:cs="Times New Roman"/>
          <w:sz w:val="22"/>
          <w:szCs w:val="22"/>
        </w:rPr>
        <w:t xml:space="preserve">. </w:t>
      </w:r>
      <w:r w:rsidRPr="00510E99">
        <w:rPr>
          <w:rFonts w:ascii="Times New Roman" w:hAnsi="Times New Roman" w:cs="Times New Roman"/>
          <w:sz w:val="22"/>
          <w:szCs w:val="22"/>
        </w:rPr>
        <w:t>2000</w:t>
      </w:r>
      <w:r>
        <w:rPr>
          <w:rFonts w:ascii="Times New Roman" w:hAnsi="Times New Roman" w:cs="Times New Roman"/>
          <w:sz w:val="22"/>
          <w:szCs w:val="22"/>
        </w:rPr>
        <w:t>. “From the Me Decade to the F</w:t>
      </w:r>
      <w:r w:rsidRPr="00510E99">
        <w:rPr>
          <w:rFonts w:ascii="Times New Roman" w:hAnsi="Times New Roman" w:cs="Times New Roman"/>
          <w:sz w:val="22"/>
          <w:szCs w:val="22"/>
        </w:rPr>
        <w:t>lee</w:t>
      </w:r>
      <w:r>
        <w:rPr>
          <w:rFonts w:ascii="Times New Roman" w:hAnsi="Times New Roman" w:cs="Times New Roman"/>
          <w:sz w:val="22"/>
          <w:szCs w:val="22"/>
        </w:rPr>
        <w:t xml:space="preserve"> D</w:t>
      </w:r>
      <w:r w:rsidRPr="00510E99">
        <w:rPr>
          <w:rFonts w:ascii="Times New Roman" w:hAnsi="Times New Roman" w:cs="Times New Roman"/>
          <w:sz w:val="22"/>
          <w:szCs w:val="22"/>
        </w:rPr>
        <w:t>ecade’ in Relational wealth.</w:t>
      </w:r>
      <w:r>
        <w:rPr>
          <w:rFonts w:ascii="Times New Roman" w:hAnsi="Times New Roman" w:cs="Times New Roman"/>
          <w:sz w:val="22"/>
          <w:szCs w:val="22"/>
        </w:rPr>
        <w:t xml:space="preserve"> The Advantages of S</w:t>
      </w:r>
      <w:r w:rsidRPr="00510E99">
        <w:rPr>
          <w:rFonts w:ascii="Times New Roman" w:hAnsi="Times New Roman" w:cs="Times New Roman"/>
          <w:sz w:val="22"/>
          <w:szCs w:val="22"/>
        </w:rPr>
        <w:t>tability in a</w:t>
      </w:r>
      <w:r>
        <w:rPr>
          <w:rFonts w:ascii="Times New Roman" w:hAnsi="Times New Roman" w:cs="Times New Roman"/>
          <w:sz w:val="22"/>
          <w:szCs w:val="22"/>
        </w:rPr>
        <w:t xml:space="preserve"> Changing E</w:t>
      </w:r>
      <w:r w:rsidRPr="00510E99">
        <w:rPr>
          <w:rFonts w:ascii="Times New Roman" w:hAnsi="Times New Roman" w:cs="Times New Roman"/>
          <w:sz w:val="22"/>
          <w:szCs w:val="22"/>
        </w:rPr>
        <w:t>conomy. C. R. Leann</w:t>
      </w:r>
      <w:r>
        <w:rPr>
          <w:rFonts w:ascii="Times New Roman" w:hAnsi="Times New Roman" w:cs="Times New Roman"/>
          <w:sz w:val="22"/>
          <w:szCs w:val="22"/>
        </w:rPr>
        <w:t xml:space="preserve"> </w:t>
      </w:r>
      <w:r w:rsidRPr="00510E99">
        <w:rPr>
          <w:rFonts w:ascii="Times New Roman" w:hAnsi="Times New Roman" w:cs="Times New Roman"/>
          <w:sz w:val="22"/>
          <w:szCs w:val="22"/>
        </w:rPr>
        <w:t>and D. M. Rousseau (eds), 169–182.</w:t>
      </w:r>
      <w:r>
        <w:rPr>
          <w:rFonts w:ascii="Times New Roman" w:hAnsi="Times New Roman" w:cs="Times New Roman"/>
          <w:sz w:val="22"/>
          <w:szCs w:val="22"/>
        </w:rPr>
        <w:t xml:space="preserve"> </w:t>
      </w:r>
      <w:r w:rsidRPr="00510E99">
        <w:rPr>
          <w:rFonts w:ascii="Times New Roman" w:hAnsi="Times New Roman" w:cs="Times New Roman"/>
          <w:sz w:val="22"/>
          <w:szCs w:val="22"/>
        </w:rPr>
        <w:t>Oxford: Oxford University Press.</w:t>
      </w:r>
    </w:p>
    <w:p w14:paraId="5311244A" w14:textId="77777777" w:rsidR="002A4889" w:rsidRDefault="00CC7552"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Garsten, Christina. 1999. “</w:t>
      </w:r>
      <w:r w:rsidRPr="00CC7552">
        <w:rPr>
          <w:rFonts w:ascii="Times New Roman" w:hAnsi="Times New Roman" w:cs="Times New Roman"/>
          <w:sz w:val="22"/>
          <w:szCs w:val="22"/>
        </w:rPr>
        <w:t>Betwixt and Between: Temporary Employees as Liminal Subjects in Flexible Organizations</w:t>
      </w:r>
      <w:r>
        <w:rPr>
          <w:rFonts w:ascii="Times New Roman" w:hAnsi="Times New Roman" w:cs="Times New Roman"/>
          <w:sz w:val="22"/>
          <w:szCs w:val="22"/>
        </w:rPr>
        <w:t>.” Organizational Studies 20(4): 601-617.</w:t>
      </w:r>
    </w:p>
    <w:p w14:paraId="53A9FBE1" w14:textId="77777777" w:rsidR="005D180A" w:rsidRPr="005D180A" w:rsidRDefault="005D180A"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Goggin, M., Bowman, A., Lester, J. and O’Toole, L. Jr. 1990. Implementation Theory and Practice: Towards and Third Generation</w:t>
      </w:r>
      <w:r>
        <w:rPr>
          <w:rFonts w:ascii="Times New Roman" w:hAnsi="Times New Roman" w:cs="Times New Roman"/>
          <w:i/>
          <w:sz w:val="22"/>
          <w:szCs w:val="22"/>
        </w:rPr>
        <w:t xml:space="preserve">. </w:t>
      </w:r>
      <w:r>
        <w:rPr>
          <w:rFonts w:ascii="Times New Roman" w:hAnsi="Times New Roman" w:cs="Times New Roman"/>
          <w:sz w:val="22"/>
          <w:szCs w:val="22"/>
        </w:rPr>
        <w:t>Glenview: Scott, Foresman.</w:t>
      </w:r>
    </w:p>
    <w:p w14:paraId="3B30CE24" w14:textId="77777777" w:rsidR="000D226F" w:rsidRPr="00CA49E2" w:rsidRDefault="000D226F"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Greer, P. 1994. Transforming Central Government: The Next Steps Initiative. Buckingham: Open University Press. </w:t>
      </w:r>
    </w:p>
    <w:p w14:paraId="5A610807" w14:textId="77777777" w:rsidR="00295794" w:rsidRPr="00CA49E2" w:rsidRDefault="0029579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Hodge, Graeme A. and Bowman, Diana M. 2006. “The Consultocracy: The Business of Reforming Government.” In Graeme Hodge Privatisation and Market Development: Global Movements in Public Policy Ideas. Edward Elgar Publishing Ltd, Cheltenham: 97-126.</w:t>
      </w:r>
    </w:p>
    <w:p w14:paraId="577DE349" w14:textId="77777777" w:rsidR="001F2BC4" w:rsidRPr="00CA49E2" w:rsidRDefault="00BC317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Hood, Christopher,</w:t>
      </w:r>
      <w:r w:rsidR="00295794" w:rsidRPr="00CA49E2">
        <w:rPr>
          <w:rFonts w:ascii="Times New Roman" w:hAnsi="Times New Roman" w:cs="Times New Roman"/>
          <w:sz w:val="22"/>
          <w:szCs w:val="22"/>
        </w:rPr>
        <w:t xml:space="preserve"> and Jackson, M. 1991. Administrative Argument. Aldershot: Dartmouth. </w:t>
      </w:r>
    </w:p>
    <w:p w14:paraId="13855332" w14:textId="77777777" w:rsidR="001F2BC4" w:rsidRPr="00CA49E2" w:rsidRDefault="001F2BC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Howard, Michael. 1996. “A Growth Industry? Use of Consultants Reported by Commonwealth Departments 1974-1994.” Canberra Bulletin of Public Administration </w:t>
      </w:r>
      <w:r w:rsidR="00F322EA" w:rsidRPr="00CA49E2">
        <w:rPr>
          <w:rFonts w:ascii="Times New Roman" w:hAnsi="Times New Roman" w:cs="Times New Roman"/>
          <w:sz w:val="22"/>
          <w:szCs w:val="22"/>
        </w:rPr>
        <w:t>80</w:t>
      </w:r>
      <w:r w:rsidRPr="00CA49E2">
        <w:rPr>
          <w:rFonts w:ascii="Times New Roman" w:hAnsi="Times New Roman" w:cs="Times New Roman"/>
          <w:sz w:val="22"/>
          <w:szCs w:val="22"/>
        </w:rPr>
        <w:t xml:space="preserve">(September): 62-74. </w:t>
      </w:r>
    </w:p>
    <w:p w14:paraId="7CD55950" w14:textId="77777777" w:rsidR="001F2BC4" w:rsidRPr="00CA49E2" w:rsidRDefault="001F2BC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Howlett, Michael, and Newman, Joshua. 2010. “Policy Analysis and Policy Work in Federal Systems: Policy Advice and its Contribution to Evidence-based Policy-making in Multi-level Governance Systems.” Policy and Society 29(1): 123-136.</w:t>
      </w:r>
    </w:p>
    <w:p w14:paraId="1FD03C17" w14:textId="77777777" w:rsidR="008B0A1E" w:rsidRPr="00CA49E2" w:rsidRDefault="001F2BC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Howlett, Michael. 2009. “A Profile of B.C. Provincial Policy Analysts: Troubleshooters or Planners.” Canadian Political Science Review 3(3): 55-68.</w:t>
      </w:r>
    </w:p>
    <w:p w14:paraId="129DF2BC" w14:textId="77777777" w:rsidR="00F14489" w:rsidRPr="00CA49E2" w:rsidRDefault="00A01348"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w:t>
      </w:r>
      <w:r w:rsidR="001F2BC4" w:rsidRPr="00CA49E2">
        <w:rPr>
          <w:rFonts w:ascii="Times New Roman" w:hAnsi="Times New Roman" w:cs="Times New Roman"/>
          <w:sz w:val="22"/>
          <w:szCs w:val="22"/>
        </w:rPr>
        <w:t>wlett, Michael &amp; Migone, Andrea</w:t>
      </w:r>
      <w:r w:rsidRPr="00CA49E2">
        <w:rPr>
          <w:rFonts w:ascii="Times New Roman" w:hAnsi="Times New Roman" w:cs="Times New Roman"/>
          <w:sz w:val="22"/>
          <w:szCs w:val="22"/>
        </w:rPr>
        <w:t xml:space="preserve"> Riccardo. Forthcoming 2013</w:t>
      </w:r>
      <w:r w:rsidR="001F2BC4" w:rsidRPr="00CA49E2">
        <w:rPr>
          <w:rFonts w:ascii="Times New Roman" w:hAnsi="Times New Roman" w:cs="Times New Roman"/>
          <w:sz w:val="22"/>
          <w:szCs w:val="22"/>
        </w:rPr>
        <w:t>a</w:t>
      </w:r>
      <w:r w:rsidRPr="00CA49E2">
        <w:rPr>
          <w:rFonts w:ascii="Times New Roman" w:hAnsi="Times New Roman" w:cs="Times New Roman"/>
          <w:sz w:val="22"/>
          <w:szCs w:val="22"/>
        </w:rPr>
        <w:t>. “The Permanence of Temporary Services: The Reliance of Canadian Federal Departments on Management Consultants” Canadian Public Administration</w:t>
      </w:r>
    </w:p>
    <w:p w14:paraId="5075C880" w14:textId="77777777" w:rsidR="00F14489" w:rsidRPr="00CA49E2" w:rsidRDefault="001F2BC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Howlett, Michael &amp; Migone, Andrea Riccardo. Forthcoming 2013b. The Capacity of Policy Consultants in Canada: Survey Evidence. Paper presented at the CanadianPolitical Science Association Annual Meeting. Victoria June 4-6, 2013</w:t>
      </w:r>
      <w:r w:rsidR="005126C3" w:rsidRPr="00CA49E2">
        <w:rPr>
          <w:rFonts w:ascii="Times New Roman" w:hAnsi="Times New Roman" w:cs="Times New Roman"/>
          <w:sz w:val="22"/>
          <w:szCs w:val="22"/>
        </w:rPr>
        <w:t>.</w:t>
      </w:r>
    </w:p>
    <w:p w14:paraId="5199A4CD" w14:textId="77777777" w:rsidR="00CC7552" w:rsidRDefault="00F1448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Howlett, Michael. </w:t>
      </w:r>
      <w:r w:rsidR="00CC7552">
        <w:rPr>
          <w:rFonts w:ascii="Times New Roman" w:hAnsi="Times New Roman" w:cs="Times New Roman"/>
          <w:sz w:val="22"/>
          <w:szCs w:val="22"/>
        </w:rPr>
        <w:t xml:space="preserve">2011. </w:t>
      </w:r>
      <w:r w:rsidRPr="00CA49E2">
        <w:rPr>
          <w:rFonts w:ascii="Times New Roman" w:hAnsi="Times New Roman" w:cs="Times New Roman"/>
          <w:sz w:val="22"/>
          <w:szCs w:val="22"/>
        </w:rPr>
        <w:t>“Public Managers as the Missing Variable in Policy Studies: An Empirical Investigation Using Canadian Data.” Review of Policy Research 28</w:t>
      </w:r>
      <w:r w:rsidR="00CC7552">
        <w:rPr>
          <w:rFonts w:ascii="Times New Roman" w:hAnsi="Times New Roman" w:cs="Times New Roman"/>
          <w:sz w:val="22"/>
          <w:szCs w:val="22"/>
        </w:rPr>
        <w:t xml:space="preserve">(3): </w:t>
      </w:r>
      <w:r w:rsidRPr="00CA49E2">
        <w:rPr>
          <w:rFonts w:ascii="Times New Roman" w:hAnsi="Times New Roman" w:cs="Times New Roman"/>
          <w:sz w:val="22"/>
          <w:szCs w:val="22"/>
        </w:rPr>
        <w:t xml:space="preserve">247–263. </w:t>
      </w:r>
    </w:p>
    <w:p w14:paraId="0E541F32" w14:textId="77777777" w:rsidR="00F14489" w:rsidRPr="00CA49E2" w:rsidRDefault="00F1448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Howlett, Michael, and Richard M Walker. </w:t>
      </w:r>
      <w:r w:rsidR="00CC7552">
        <w:rPr>
          <w:rFonts w:ascii="Times New Roman" w:hAnsi="Times New Roman" w:cs="Times New Roman"/>
          <w:sz w:val="22"/>
          <w:szCs w:val="22"/>
        </w:rPr>
        <w:t xml:space="preserve">2012. </w:t>
      </w:r>
      <w:r w:rsidRPr="00CA49E2">
        <w:rPr>
          <w:rFonts w:ascii="Times New Roman" w:hAnsi="Times New Roman" w:cs="Times New Roman"/>
          <w:sz w:val="22"/>
          <w:szCs w:val="22"/>
        </w:rPr>
        <w:t>“Public Managers in the Policy Process: More Evidence on the Missing Variable?”</w:t>
      </w:r>
      <w:r w:rsidR="00CC7552">
        <w:rPr>
          <w:rFonts w:ascii="Times New Roman" w:hAnsi="Times New Roman" w:cs="Times New Roman"/>
          <w:sz w:val="22"/>
          <w:szCs w:val="22"/>
        </w:rPr>
        <w:t xml:space="preserve"> Policy Studies Journal 40(2</w:t>
      </w:r>
      <w:r w:rsidRPr="00CA49E2">
        <w:rPr>
          <w:rFonts w:ascii="Times New Roman" w:hAnsi="Times New Roman" w:cs="Times New Roman"/>
          <w:sz w:val="22"/>
          <w:szCs w:val="22"/>
        </w:rPr>
        <w:t xml:space="preserve">): 211–233. </w:t>
      </w:r>
    </w:p>
    <w:p w14:paraId="4C3D8905" w14:textId="77777777" w:rsidR="008F22ED" w:rsidRPr="00CA49E2" w:rsidRDefault="00F1448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 </w:t>
      </w:r>
      <w:r w:rsidR="008F22ED" w:rsidRPr="00CA49E2">
        <w:rPr>
          <w:rFonts w:ascii="Times New Roman" w:hAnsi="Times New Roman" w:cs="Times New Roman"/>
          <w:sz w:val="22"/>
          <w:szCs w:val="22"/>
        </w:rPr>
        <w:t xml:space="preserve">Huber, G. P. </w:t>
      </w:r>
      <w:r w:rsidR="00CC7552">
        <w:rPr>
          <w:rFonts w:ascii="Times New Roman" w:hAnsi="Times New Roman" w:cs="Times New Roman"/>
          <w:sz w:val="22"/>
          <w:szCs w:val="22"/>
        </w:rPr>
        <w:t xml:space="preserve">1991. </w:t>
      </w:r>
      <w:r w:rsidR="008F22ED" w:rsidRPr="00CA49E2">
        <w:rPr>
          <w:rFonts w:ascii="Times New Roman" w:hAnsi="Times New Roman" w:cs="Times New Roman"/>
          <w:sz w:val="22"/>
          <w:szCs w:val="22"/>
        </w:rPr>
        <w:t>“Organization Learning: The Contributing Processes and the Literatures.”</w:t>
      </w:r>
      <w:r w:rsidR="00CC7552">
        <w:rPr>
          <w:rFonts w:ascii="Times New Roman" w:hAnsi="Times New Roman" w:cs="Times New Roman"/>
          <w:sz w:val="22"/>
          <w:szCs w:val="22"/>
        </w:rPr>
        <w:t xml:space="preserve"> Organization Science 2</w:t>
      </w:r>
      <w:r w:rsidR="008F22ED" w:rsidRPr="00CA49E2">
        <w:rPr>
          <w:rFonts w:ascii="Times New Roman" w:hAnsi="Times New Roman" w:cs="Times New Roman"/>
          <w:sz w:val="22"/>
          <w:szCs w:val="22"/>
        </w:rPr>
        <w:t>: 88–115.</w:t>
      </w:r>
    </w:p>
    <w:p w14:paraId="6FBE6612" w14:textId="77777777" w:rsidR="009B71BB" w:rsidRPr="00CA49E2" w:rsidRDefault="00DE6B17"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Jaoquin, Ernita M. and Greitens, Thomas J. 2012. “Contract Management Capacity Breakdown? An Analysis of U.S. Local Government.” Public Administration Review 72(5): 807-816.</w:t>
      </w:r>
    </w:p>
    <w:p w14:paraId="765EB7E6" w14:textId="77777777" w:rsidR="006F754C" w:rsidRPr="00CA49E2" w:rsidRDefault="009B71BB"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Kantola, Anu, and Hannele Seeck. 2011. “Dissemination of Management into Politics: Michael Porter and the Political Uses of Management Consulting.” Management Learning 42(1): 25–47.</w:t>
      </w:r>
    </w:p>
    <w:p w14:paraId="2AC1DA08" w14:textId="77777777" w:rsidR="00D40262" w:rsidRPr="00CA49E2" w:rsidRDefault="005126C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Lahusen</w:t>
      </w:r>
      <w:r w:rsidR="00B54ADF" w:rsidRPr="00CA49E2">
        <w:rPr>
          <w:rFonts w:ascii="Times New Roman" w:hAnsi="Times New Roman" w:cs="Times New Roman"/>
          <w:sz w:val="22"/>
          <w:szCs w:val="22"/>
        </w:rPr>
        <w:t>, Christian. 2002. “Commercial C</w:t>
      </w:r>
      <w:r w:rsidRPr="00CA49E2">
        <w:rPr>
          <w:rFonts w:ascii="Times New Roman" w:hAnsi="Times New Roman" w:cs="Times New Roman"/>
          <w:sz w:val="22"/>
          <w:szCs w:val="22"/>
        </w:rPr>
        <w:t>onsultancies in the Euro</w:t>
      </w:r>
      <w:r w:rsidR="00B54ADF" w:rsidRPr="00CA49E2">
        <w:rPr>
          <w:rFonts w:ascii="Times New Roman" w:hAnsi="Times New Roman" w:cs="Times New Roman"/>
          <w:sz w:val="22"/>
          <w:szCs w:val="22"/>
        </w:rPr>
        <w:t>pean Union: The Shape and Structure of Professional Interest I</w:t>
      </w:r>
      <w:r w:rsidRPr="00CA49E2">
        <w:rPr>
          <w:rFonts w:ascii="Times New Roman" w:hAnsi="Times New Roman" w:cs="Times New Roman"/>
          <w:sz w:val="22"/>
          <w:szCs w:val="22"/>
        </w:rPr>
        <w:t>ntermediation.” Journal of European Public Policy 9: 695-714.</w:t>
      </w:r>
    </w:p>
    <w:p w14:paraId="69D638E6" w14:textId="77777777" w:rsidR="00D40262" w:rsidRPr="00CA49E2" w:rsidRDefault="0092566F"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Lapsley, Irvine, and Oldfield, Rosie. 2001. “Transforming the Public Sector: Management Consultants as Agents of Change.” European Accounting Review 10(3):523-543.</w:t>
      </w:r>
    </w:p>
    <w:p w14:paraId="5A51C125" w14:textId="77777777" w:rsidR="00D40262" w:rsidRPr="00CA49E2" w:rsidRDefault="00D40262"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Lindquist, Evert, and Anne Tiernan. </w:t>
      </w:r>
      <w:r w:rsidR="00CC7552">
        <w:rPr>
          <w:rFonts w:ascii="Times New Roman" w:hAnsi="Times New Roman" w:cs="Times New Roman"/>
          <w:sz w:val="22"/>
          <w:szCs w:val="22"/>
        </w:rPr>
        <w:t xml:space="preserve">2011. </w:t>
      </w:r>
      <w:r w:rsidRPr="00CA49E2">
        <w:rPr>
          <w:rFonts w:ascii="Times New Roman" w:hAnsi="Times New Roman" w:cs="Times New Roman"/>
          <w:sz w:val="22"/>
          <w:szCs w:val="22"/>
        </w:rPr>
        <w:t>“The Australian Public Service and Policy Advising: Meeting the Challenges of 21st Century Governance.” Australian Journal of Public Administration 70</w:t>
      </w:r>
      <w:r w:rsidR="00CC7552">
        <w:rPr>
          <w:rFonts w:ascii="Times New Roman" w:hAnsi="Times New Roman" w:cs="Times New Roman"/>
          <w:sz w:val="22"/>
          <w:szCs w:val="22"/>
        </w:rPr>
        <w:t>(4</w:t>
      </w:r>
      <w:r w:rsidRPr="00CA49E2">
        <w:rPr>
          <w:rFonts w:ascii="Times New Roman" w:hAnsi="Times New Roman" w:cs="Times New Roman"/>
          <w:sz w:val="22"/>
          <w:szCs w:val="22"/>
        </w:rPr>
        <w:t xml:space="preserve">): 437–450. </w:t>
      </w:r>
    </w:p>
    <w:p w14:paraId="0D6B905F" w14:textId="77777777" w:rsidR="00246346" w:rsidRPr="00CA49E2" w:rsidRDefault="008B0A1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Macdonald, David. 2011. The Shadow Public Service. The Swelling Ranks of Federal Government Outsourced Workers. Ottawa: Canadian Centre for Policy Alternatives.</w:t>
      </w:r>
    </w:p>
    <w:p w14:paraId="728E3D83" w14:textId="77777777" w:rsidR="00CC7552" w:rsidRDefault="00246346"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McKeown, Tui, and Margaret Lindorff. </w:t>
      </w:r>
      <w:r w:rsidR="00CC7552">
        <w:rPr>
          <w:rFonts w:ascii="Times New Roman" w:hAnsi="Times New Roman" w:cs="Times New Roman"/>
          <w:sz w:val="22"/>
          <w:szCs w:val="22"/>
        </w:rPr>
        <w:t xml:space="preserve">2011. </w:t>
      </w:r>
      <w:r w:rsidRPr="00CA49E2">
        <w:rPr>
          <w:rFonts w:ascii="Times New Roman" w:hAnsi="Times New Roman" w:cs="Times New Roman"/>
          <w:sz w:val="22"/>
          <w:szCs w:val="22"/>
        </w:rPr>
        <w:t>“Temporary Staff, Contractors, and Volunteers: The Hidden Workforce in Victorian Local Government.” Australian Journal of Public Administration 70</w:t>
      </w:r>
      <w:r w:rsidR="00CC7552">
        <w:rPr>
          <w:rFonts w:ascii="Times New Roman" w:hAnsi="Times New Roman" w:cs="Times New Roman"/>
          <w:sz w:val="22"/>
          <w:szCs w:val="22"/>
        </w:rPr>
        <w:t>(2</w:t>
      </w:r>
      <w:r w:rsidRPr="00CA49E2">
        <w:rPr>
          <w:rFonts w:ascii="Times New Roman" w:hAnsi="Times New Roman" w:cs="Times New Roman"/>
          <w:sz w:val="22"/>
          <w:szCs w:val="22"/>
        </w:rPr>
        <w:t xml:space="preserve">): 185–201. </w:t>
      </w:r>
    </w:p>
    <w:p w14:paraId="55DAC2D9" w14:textId="77777777" w:rsidR="00D40262" w:rsidRPr="00CA49E2" w:rsidRDefault="00246346"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National Audit Office. </w:t>
      </w:r>
      <w:r w:rsidR="00CC7552">
        <w:rPr>
          <w:rFonts w:ascii="Times New Roman" w:hAnsi="Times New Roman" w:cs="Times New Roman"/>
          <w:sz w:val="22"/>
          <w:szCs w:val="22"/>
        </w:rPr>
        <w:t xml:space="preserve">2006. </w:t>
      </w:r>
      <w:r w:rsidRPr="00CA49E2">
        <w:rPr>
          <w:rFonts w:ascii="Times New Roman" w:hAnsi="Times New Roman" w:cs="Times New Roman"/>
          <w:sz w:val="22"/>
          <w:szCs w:val="22"/>
        </w:rPr>
        <w:t>Central Government’s use of consultants: Methodology. London: National Audi</w:t>
      </w:r>
      <w:r w:rsidR="00CC7552">
        <w:rPr>
          <w:rFonts w:ascii="Times New Roman" w:hAnsi="Times New Roman" w:cs="Times New Roman"/>
          <w:sz w:val="22"/>
          <w:szCs w:val="22"/>
        </w:rPr>
        <w:t>t Office</w:t>
      </w:r>
      <w:r w:rsidRPr="00CA49E2">
        <w:rPr>
          <w:rFonts w:ascii="Times New Roman" w:hAnsi="Times New Roman" w:cs="Times New Roman"/>
          <w:sz w:val="22"/>
          <w:szCs w:val="22"/>
        </w:rPr>
        <w:t>.</w:t>
      </w:r>
    </w:p>
    <w:p w14:paraId="4471ED34" w14:textId="77777777" w:rsidR="00D40262" w:rsidRDefault="00D40262"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Nicholson, John. </w:t>
      </w:r>
      <w:r w:rsidR="00CC7552">
        <w:rPr>
          <w:rFonts w:ascii="Times New Roman" w:hAnsi="Times New Roman" w:cs="Times New Roman"/>
          <w:sz w:val="22"/>
          <w:szCs w:val="22"/>
        </w:rPr>
        <w:t xml:space="preserve">1997. </w:t>
      </w:r>
      <w:r w:rsidRPr="00CA49E2">
        <w:rPr>
          <w:rFonts w:ascii="Times New Roman" w:hAnsi="Times New Roman" w:cs="Times New Roman"/>
          <w:sz w:val="22"/>
          <w:szCs w:val="22"/>
        </w:rPr>
        <w:t xml:space="preserve">“Monitoring the Efficiency, Quality, and Effectiveness of Policy Advice to Government.” In Monitoring Performance in the Public Sector: Future Directions from International Experience, edited by John Maybe and Eduardo Zapico-Goni, 237–252. New Brunswick, </w:t>
      </w:r>
      <w:r w:rsidR="00CC7552">
        <w:rPr>
          <w:rFonts w:ascii="Times New Roman" w:hAnsi="Times New Roman" w:cs="Times New Roman"/>
          <w:sz w:val="22"/>
          <w:szCs w:val="22"/>
        </w:rPr>
        <w:t>NJ: Transaction Publishers</w:t>
      </w:r>
      <w:r w:rsidRPr="00CA49E2">
        <w:rPr>
          <w:rFonts w:ascii="Times New Roman" w:hAnsi="Times New Roman" w:cs="Times New Roman"/>
          <w:sz w:val="22"/>
          <w:szCs w:val="22"/>
        </w:rPr>
        <w:t>.</w:t>
      </w:r>
    </w:p>
    <w:p w14:paraId="61A5ACB8" w14:textId="77777777" w:rsidR="005D180A" w:rsidRPr="00E63379" w:rsidRDefault="005D180A" w:rsidP="00D901C6">
      <w:pPr>
        <w:ind w:left="567" w:hanging="567"/>
        <w:jc w:val="both"/>
        <w:rPr>
          <w:rFonts w:ascii="Times New Roman" w:hAnsi="Times New Roman" w:cs="Times New Roman"/>
          <w:i/>
          <w:sz w:val="22"/>
          <w:szCs w:val="22"/>
        </w:rPr>
      </w:pPr>
      <w:r>
        <w:rPr>
          <w:rFonts w:ascii="Times New Roman" w:hAnsi="Times New Roman" w:cs="Times New Roman"/>
          <w:sz w:val="22"/>
          <w:szCs w:val="22"/>
        </w:rPr>
        <w:t xml:space="preserve">Ostrom, E., 1998. “A Behavioral Approach to the Rational Choice Theory of Collective Action.” </w:t>
      </w:r>
      <w:r>
        <w:rPr>
          <w:rFonts w:ascii="Times New Roman" w:hAnsi="Times New Roman" w:cs="Times New Roman"/>
          <w:i/>
          <w:sz w:val="22"/>
          <w:szCs w:val="22"/>
        </w:rPr>
        <w:t>American Political Science Review</w:t>
      </w:r>
      <w:r>
        <w:rPr>
          <w:rFonts w:ascii="Times New Roman" w:hAnsi="Times New Roman" w:cs="Times New Roman"/>
          <w:sz w:val="22"/>
          <w:szCs w:val="22"/>
        </w:rPr>
        <w:t xml:space="preserve"> 9291): 1-22.</w:t>
      </w:r>
      <w:r>
        <w:rPr>
          <w:rFonts w:ascii="Times New Roman" w:hAnsi="Times New Roman" w:cs="Times New Roman"/>
          <w:i/>
          <w:sz w:val="22"/>
          <w:szCs w:val="22"/>
        </w:rPr>
        <w:t xml:space="preserve"> </w:t>
      </w:r>
    </w:p>
    <w:p w14:paraId="2BDFFDF7" w14:textId="77777777" w:rsidR="00C04D75" w:rsidRPr="00CA49E2" w:rsidRDefault="00C04D75"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Page, Edward C. and Jenkins, Bill. 2005. Policy Bureaucracy. Government with a Cast of Thousands. Oxford: Oxford University Press.</w:t>
      </w:r>
    </w:p>
    <w:p w14:paraId="4B1EAE84" w14:textId="77777777" w:rsidR="00A97102" w:rsidRPr="00CA49E2" w:rsidRDefault="00C04D75"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Page, Ed</w:t>
      </w:r>
      <w:r w:rsidR="00B54ADF" w:rsidRPr="00CA49E2">
        <w:rPr>
          <w:rFonts w:ascii="Times New Roman" w:hAnsi="Times New Roman" w:cs="Times New Roman"/>
          <w:sz w:val="22"/>
          <w:szCs w:val="22"/>
        </w:rPr>
        <w:t>ward C. 2010. “Bureaucrats and Expertise: Elucidating a Problematic Relationship in T</w:t>
      </w:r>
      <w:r w:rsidRPr="00CA49E2">
        <w:rPr>
          <w:rFonts w:ascii="Times New Roman" w:hAnsi="Times New Roman" w:cs="Times New Roman"/>
          <w:sz w:val="22"/>
          <w:szCs w:val="22"/>
        </w:rPr>
        <w:t>hre</w:t>
      </w:r>
      <w:r w:rsidR="00B54ADF" w:rsidRPr="00CA49E2">
        <w:rPr>
          <w:rFonts w:ascii="Times New Roman" w:hAnsi="Times New Roman" w:cs="Times New Roman"/>
          <w:sz w:val="22"/>
          <w:szCs w:val="22"/>
        </w:rPr>
        <w:t>e Tableaux and Six J</w:t>
      </w:r>
      <w:r w:rsidRPr="00CA49E2">
        <w:rPr>
          <w:rFonts w:ascii="Times New Roman" w:hAnsi="Times New Roman" w:cs="Times New Roman"/>
          <w:sz w:val="22"/>
          <w:szCs w:val="22"/>
        </w:rPr>
        <w:t>urisdictions.” Sociologie du Travail 52(2): 255-273.</w:t>
      </w:r>
    </w:p>
    <w:p w14:paraId="7319EA39" w14:textId="77777777" w:rsidR="0042678E" w:rsidRPr="00CA49E2" w:rsidRDefault="00A97102"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Pattenaude, Richard L. 1979. “Introduction to Symposium on Consultants in the Public Sector.” Public Administration Review 39(3): 203-205.</w:t>
      </w:r>
    </w:p>
    <w:p w14:paraId="443B789B" w14:textId="77777777" w:rsidR="00DC2516" w:rsidRPr="00CA49E2" w:rsidRDefault="0042678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Perl, Anthony, and Donald J. White. 2002. “The Changing Role of Consultants in Canadian Policy Analysis.” Policy &amp; Society 21(1): 49-73.</w:t>
      </w:r>
    </w:p>
    <w:p w14:paraId="388E9B5D" w14:textId="77777777" w:rsidR="00DC2516" w:rsidRPr="00CA49E2" w:rsidRDefault="00DC2516"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Pollitt, Christopher, and Bouckaert, Geert. 2011. Public Management Reform: A Comparative Analysis. Oxford: Oxford University Press.</w:t>
      </w:r>
    </w:p>
    <w:p w14:paraId="51EB1C72" w14:textId="77777777" w:rsidR="0042678E" w:rsidRPr="00CA49E2" w:rsidRDefault="008B0A1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Project On Government Oversight. 2011. Bad Business: Billions of Taxpayer Dollars Wasted on Hiring Contractors. Washington DC: Project on Government Oversight.</w:t>
      </w:r>
    </w:p>
    <w:p w14:paraId="43AF1D34" w14:textId="77777777" w:rsidR="00F322EA" w:rsidRPr="00CA49E2" w:rsidRDefault="00F322EA"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Public Service Commission. 2010. Use of Temporary Help Services in Public Service Organizations. Ottawa: Public Service Commission.</w:t>
      </w:r>
    </w:p>
    <w:p w14:paraId="30001AED" w14:textId="77777777" w:rsidR="005126C3" w:rsidRPr="00CA49E2" w:rsidRDefault="0042678E"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Radcliffe, Sarah. 2010. “Non-rational Aspects of the Competition State – The Case of Policy Consultancy in Australia.” Policy Studies 31(1): 117-128.</w:t>
      </w:r>
    </w:p>
    <w:p w14:paraId="0F15B112" w14:textId="77777777" w:rsidR="00E81B44" w:rsidRPr="00CA49E2" w:rsidRDefault="005126C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Riddell N</w:t>
      </w:r>
      <w:r w:rsidR="00B54ADF" w:rsidRPr="00CA49E2">
        <w:rPr>
          <w:rFonts w:ascii="Times New Roman" w:hAnsi="Times New Roman" w:cs="Times New Roman"/>
          <w:sz w:val="22"/>
          <w:szCs w:val="22"/>
        </w:rPr>
        <w:t>.</w:t>
      </w:r>
      <w:r w:rsidRPr="00CA49E2">
        <w:rPr>
          <w:rFonts w:ascii="Times New Roman" w:hAnsi="Times New Roman" w:cs="Times New Roman"/>
          <w:sz w:val="22"/>
          <w:szCs w:val="22"/>
        </w:rPr>
        <w:t xml:space="preserve"> 2007. Policy Research Capacity in the Federal Government. Ottawa, ON: Policy Research Initiative.</w:t>
      </w:r>
    </w:p>
    <w:p w14:paraId="4E36B124" w14:textId="77777777" w:rsidR="00E81B44" w:rsidRPr="00CA49E2" w:rsidRDefault="00E81B44"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Raudla, Ringa. 2013. “Pitfalls of Contracting for Policy Advice: Preparing Performance Budgeting Reform in Estonia.” Governance [Forthcoming]</w:t>
      </w:r>
    </w:p>
    <w:p w14:paraId="2336955C" w14:textId="77777777" w:rsidR="00C16ABA" w:rsidRPr="00CA49E2" w:rsidRDefault="00C16ABA"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Saint-Martin, Denis. 1998 “The New Managerialism and the Policy Influence of Consultants in Government: An Historical-Institutionalist Analysis of Britain, Canada and France.” Governance 11(3): 319-356</w:t>
      </w:r>
    </w:p>
    <w:p w14:paraId="000CB7C1" w14:textId="77777777" w:rsidR="00C81579" w:rsidRPr="00CA49E2" w:rsidRDefault="00C8157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Saint-Martin, Denis. 2005. “The Politics of Management Consulting in Public Sector Reform.” In Handbook of Public Management, ed. Christopher Pollitt. Oxford: Oxford University Press, p. 84-106.</w:t>
      </w:r>
    </w:p>
    <w:p w14:paraId="02F2059D" w14:textId="77777777" w:rsidR="00C81579" w:rsidRPr="00CA49E2" w:rsidRDefault="005126C3"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Saint-Martin, Denis. 2006. “Le Consulting et l’Etat: Une Analyse Comparée de l’Offre et de la D</w:t>
      </w:r>
      <w:r w:rsidR="00C81579" w:rsidRPr="00CA49E2">
        <w:rPr>
          <w:rFonts w:ascii="Times New Roman" w:hAnsi="Times New Roman" w:cs="Times New Roman"/>
          <w:sz w:val="22"/>
          <w:szCs w:val="22"/>
        </w:rPr>
        <w:t xml:space="preserve">emande.” Revue </w:t>
      </w:r>
      <w:r w:rsidR="007622D9" w:rsidRPr="00CA49E2">
        <w:rPr>
          <w:rFonts w:ascii="Times New Roman" w:hAnsi="Times New Roman" w:cs="Times New Roman"/>
          <w:sz w:val="22"/>
          <w:szCs w:val="22"/>
        </w:rPr>
        <w:t>F</w:t>
      </w:r>
      <w:r w:rsidR="00C81579" w:rsidRPr="00CA49E2">
        <w:rPr>
          <w:rFonts w:ascii="Times New Roman" w:hAnsi="Times New Roman" w:cs="Times New Roman"/>
          <w:sz w:val="22"/>
          <w:szCs w:val="22"/>
        </w:rPr>
        <w:t>rançaise d’</w:t>
      </w:r>
      <w:r w:rsidR="007622D9" w:rsidRPr="00CA49E2">
        <w:rPr>
          <w:rFonts w:ascii="Times New Roman" w:hAnsi="Times New Roman" w:cs="Times New Roman"/>
          <w:sz w:val="22"/>
          <w:szCs w:val="22"/>
        </w:rPr>
        <w:t>A</w:t>
      </w:r>
      <w:r w:rsidR="00C81579" w:rsidRPr="00CA49E2">
        <w:rPr>
          <w:rFonts w:ascii="Times New Roman" w:hAnsi="Times New Roman" w:cs="Times New Roman"/>
          <w:sz w:val="22"/>
          <w:szCs w:val="22"/>
        </w:rPr>
        <w:t xml:space="preserve">dministration </w:t>
      </w:r>
      <w:r w:rsidR="007622D9" w:rsidRPr="00CA49E2">
        <w:rPr>
          <w:rFonts w:ascii="Times New Roman" w:hAnsi="Times New Roman" w:cs="Times New Roman"/>
          <w:sz w:val="22"/>
          <w:szCs w:val="22"/>
        </w:rPr>
        <w:t>P</w:t>
      </w:r>
      <w:r w:rsidR="00C81579" w:rsidRPr="00CA49E2">
        <w:rPr>
          <w:rFonts w:ascii="Times New Roman" w:hAnsi="Times New Roman" w:cs="Times New Roman"/>
          <w:sz w:val="22"/>
          <w:szCs w:val="22"/>
        </w:rPr>
        <w:t>ublique 120(4): 743-756.</w:t>
      </w:r>
    </w:p>
    <w:p w14:paraId="19CE08BE" w14:textId="77777777" w:rsidR="00D40262" w:rsidRPr="00CA49E2" w:rsidRDefault="007622D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Savoie, Donald J. 2004. “Searching for Accountability in a Government Without Boundaries.” Canadian Public Administration 47(1): 1-26.</w:t>
      </w:r>
    </w:p>
    <w:p w14:paraId="103224B5" w14:textId="77777777" w:rsidR="00D40262" w:rsidRPr="00CA49E2" w:rsidRDefault="00C81579"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Speers, Kimberly. 2007. “The Invisible Private Service: Consultants and Public Policy in Canada.” In Policy Analysis in Canada: The State of the Art, eds. Laurent Dobuzinskis,</w:t>
      </w:r>
      <w:r w:rsidR="00510E99">
        <w:rPr>
          <w:rFonts w:ascii="Times New Roman" w:hAnsi="Times New Roman" w:cs="Times New Roman"/>
          <w:sz w:val="22"/>
          <w:szCs w:val="22"/>
        </w:rPr>
        <w:t xml:space="preserve"> </w:t>
      </w:r>
      <w:r w:rsidRPr="00CA49E2">
        <w:rPr>
          <w:rFonts w:ascii="Times New Roman" w:hAnsi="Times New Roman" w:cs="Times New Roman"/>
          <w:sz w:val="22"/>
          <w:szCs w:val="22"/>
        </w:rPr>
        <w:t>Michael Howlett, and David Laycock. Toronto: University of Toronto</w:t>
      </w:r>
      <w:r w:rsidR="00D40262" w:rsidRPr="00CA49E2">
        <w:rPr>
          <w:rFonts w:ascii="Times New Roman" w:hAnsi="Times New Roman" w:cs="Times New Roman"/>
          <w:sz w:val="22"/>
          <w:szCs w:val="22"/>
        </w:rPr>
        <w:t xml:space="preserve"> </w:t>
      </w:r>
      <w:r w:rsidR="002A4889" w:rsidRPr="00CA49E2">
        <w:rPr>
          <w:rFonts w:ascii="Times New Roman" w:hAnsi="Times New Roman" w:cs="Times New Roman"/>
          <w:sz w:val="22"/>
          <w:szCs w:val="22"/>
        </w:rPr>
        <w:t>Press:</w:t>
      </w:r>
      <w:r w:rsidRPr="00CA49E2">
        <w:rPr>
          <w:rFonts w:ascii="Times New Roman" w:hAnsi="Times New Roman" w:cs="Times New Roman"/>
          <w:sz w:val="22"/>
          <w:szCs w:val="22"/>
        </w:rPr>
        <w:t xml:space="preserve"> 339-421.</w:t>
      </w:r>
    </w:p>
    <w:p w14:paraId="6EB6E034" w14:textId="77777777" w:rsidR="00D40262" w:rsidRDefault="00D40262"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State Services, Commission. </w:t>
      </w:r>
      <w:r w:rsidR="00CC7552">
        <w:rPr>
          <w:rFonts w:ascii="Times New Roman" w:hAnsi="Times New Roman" w:cs="Times New Roman"/>
          <w:sz w:val="22"/>
          <w:szCs w:val="22"/>
        </w:rPr>
        <w:t xml:space="preserve">1999. </w:t>
      </w:r>
      <w:r w:rsidRPr="00CA49E2">
        <w:rPr>
          <w:rFonts w:ascii="Times New Roman" w:hAnsi="Times New Roman" w:cs="Times New Roman"/>
          <w:sz w:val="22"/>
          <w:szCs w:val="22"/>
        </w:rPr>
        <w:t>Essential Ingredients: Improving the Quality of Policy Advice. Wellington: New Zealand State Services Commissio</w:t>
      </w:r>
      <w:r w:rsidR="00CC7552">
        <w:rPr>
          <w:rFonts w:ascii="Times New Roman" w:hAnsi="Times New Roman" w:cs="Times New Roman"/>
          <w:sz w:val="22"/>
          <w:szCs w:val="22"/>
        </w:rPr>
        <w:t>n</w:t>
      </w:r>
      <w:r w:rsidRPr="00CA49E2">
        <w:rPr>
          <w:rFonts w:ascii="Times New Roman" w:hAnsi="Times New Roman" w:cs="Times New Roman"/>
          <w:sz w:val="22"/>
          <w:szCs w:val="22"/>
        </w:rPr>
        <w:t>.</w:t>
      </w:r>
    </w:p>
    <w:p w14:paraId="78C4183A" w14:textId="77777777" w:rsidR="005D180A" w:rsidRPr="005D180A" w:rsidRDefault="005D180A"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Stoker, R., 1989. “A Regime Framework for Implementation Analysis: Cooperation and Reconciliation of Federalist Imperatives.” Policy Studies Review 9(1): 29-49.</w:t>
      </w:r>
    </w:p>
    <w:p w14:paraId="15E26215" w14:textId="77777777" w:rsidR="00246346" w:rsidRDefault="00246346"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 xml:space="preserve">Streb, Sebastian, and Markus Tepe. </w:t>
      </w:r>
      <w:r w:rsidR="00CC7552">
        <w:rPr>
          <w:rFonts w:ascii="Times New Roman" w:hAnsi="Times New Roman" w:cs="Times New Roman"/>
          <w:sz w:val="22"/>
          <w:szCs w:val="22"/>
        </w:rPr>
        <w:t xml:space="preserve">2012. </w:t>
      </w:r>
      <w:r w:rsidRPr="00CA49E2">
        <w:rPr>
          <w:rFonts w:ascii="Times New Roman" w:hAnsi="Times New Roman" w:cs="Times New Roman"/>
          <w:sz w:val="22"/>
          <w:szCs w:val="22"/>
        </w:rPr>
        <w:t>“An Explorative Study on Purchasing Legal Advice in the German Law-Drafting Process.” Germ</w:t>
      </w:r>
      <w:r w:rsidR="00CC7552">
        <w:rPr>
          <w:rFonts w:ascii="Times New Roman" w:hAnsi="Times New Roman" w:cs="Times New Roman"/>
          <w:sz w:val="22"/>
          <w:szCs w:val="22"/>
        </w:rPr>
        <w:t>an Policy Studies 8(1</w:t>
      </w:r>
      <w:r w:rsidRPr="00CA49E2">
        <w:rPr>
          <w:rFonts w:ascii="Times New Roman" w:hAnsi="Times New Roman" w:cs="Times New Roman"/>
          <w:sz w:val="22"/>
          <w:szCs w:val="22"/>
        </w:rPr>
        <w:t>): 3–42.</w:t>
      </w:r>
    </w:p>
    <w:p w14:paraId="28D98098" w14:textId="77777777" w:rsidR="00510E99" w:rsidRPr="00CA49E2" w:rsidRDefault="00510E99" w:rsidP="00D901C6">
      <w:pPr>
        <w:ind w:left="567" w:hanging="567"/>
        <w:jc w:val="both"/>
        <w:rPr>
          <w:rFonts w:ascii="Times New Roman" w:hAnsi="Times New Roman" w:cs="Times New Roman"/>
          <w:sz w:val="22"/>
          <w:szCs w:val="22"/>
        </w:rPr>
      </w:pPr>
      <w:r>
        <w:rPr>
          <w:rFonts w:ascii="Times New Roman" w:hAnsi="Times New Roman" w:cs="Times New Roman"/>
          <w:sz w:val="22"/>
          <w:szCs w:val="22"/>
        </w:rPr>
        <w:t>Tempest, Sue and Starkey, Ken. 2004. “</w:t>
      </w:r>
      <w:r w:rsidRPr="00510E99">
        <w:rPr>
          <w:rFonts w:ascii="Times New Roman" w:hAnsi="Times New Roman" w:cs="Times New Roman"/>
          <w:sz w:val="22"/>
          <w:szCs w:val="22"/>
        </w:rPr>
        <w:t>The Effects of Liminality on Individual and Organizational Learning</w:t>
      </w:r>
      <w:r>
        <w:rPr>
          <w:rFonts w:ascii="Times New Roman" w:hAnsi="Times New Roman" w:cs="Times New Roman"/>
          <w:sz w:val="22"/>
          <w:szCs w:val="22"/>
        </w:rPr>
        <w:t>.” Organization Studies 25(4): 507.527.</w:t>
      </w:r>
    </w:p>
    <w:p w14:paraId="3B270D34" w14:textId="77777777" w:rsidR="00B54ADF" w:rsidRPr="00CA49E2" w:rsidRDefault="00C04D75"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Tisdall, Patricia. 1982. Agents of Change: The Development and Practice of Management Consultancy. Heinemann.</w:t>
      </w:r>
    </w:p>
    <w:p w14:paraId="64325064" w14:textId="77777777" w:rsidR="00C81579" w:rsidRPr="00CA49E2" w:rsidRDefault="00B54ADF"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Van Houten, Donald R., and Goldman, Paul. 1981. “Contract Consulting’s Hidden Agenda: The Quest for Legitimacy in Government.” The Pacific Sociological Review 24(4): 461-493.</w:t>
      </w:r>
    </w:p>
    <w:p w14:paraId="7942F79F" w14:textId="77777777" w:rsidR="00DE6B17" w:rsidRPr="00CA49E2" w:rsidRDefault="00DE6B17" w:rsidP="00D901C6">
      <w:pPr>
        <w:ind w:left="567" w:hanging="567"/>
        <w:jc w:val="both"/>
        <w:rPr>
          <w:rFonts w:ascii="Times New Roman" w:hAnsi="Times New Roman" w:cs="Times New Roman"/>
          <w:sz w:val="22"/>
          <w:szCs w:val="22"/>
        </w:rPr>
      </w:pPr>
      <w:r w:rsidRPr="00CA49E2">
        <w:rPr>
          <w:rFonts w:ascii="Times New Roman" w:hAnsi="Times New Roman" w:cs="Times New Roman"/>
          <w:sz w:val="22"/>
          <w:szCs w:val="22"/>
        </w:rPr>
        <w:t>Woon Kim, Yong and Trevor L. Brown. 2012. “The Importance of Contract Design.” Public Administration Review 72(5): 687-696.</w:t>
      </w:r>
    </w:p>
    <w:p w14:paraId="1922932A" w14:textId="77777777" w:rsidR="008B0A1E" w:rsidRPr="008B0A1E" w:rsidRDefault="008B0A1E" w:rsidP="00D901C6">
      <w:pPr>
        <w:ind w:left="567" w:hanging="567"/>
        <w:jc w:val="both"/>
        <w:rPr>
          <w:rFonts w:ascii="Times New Roman" w:hAnsi="Times New Roman" w:cs="Times New Roman"/>
          <w:szCs w:val="20"/>
        </w:rPr>
      </w:pPr>
    </w:p>
    <w:p w14:paraId="5E74643C" w14:textId="77777777" w:rsidR="00D27F44" w:rsidRPr="008B0A1E" w:rsidRDefault="00D27F44" w:rsidP="00D901C6">
      <w:pPr>
        <w:ind w:left="567"/>
        <w:jc w:val="both"/>
        <w:rPr>
          <w:rFonts w:ascii="Times New Roman" w:hAnsi="Times New Roman"/>
        </w:rPr>
      </w:pPr>
    </w:p>
    <w:sectPr w:rsidR="00D27F44" w:rsidRPr="008B0A1E" w:rsidSect="00104316">
      <w:endnotePr>
        <w:numFmt w:val="decimal"/>
      </w:endnotePr>
      <w:type w:val="continuous"/>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C91DC" w14:textId="77777777" w:rsidR="00E63379" w:rsidRDefault="00E63379">
      <w:r>
        <w:separator/>
      </w:r>
    </w:p>
  </w:endnote>
  <w:endnote w:type="continuationSeparator" w:id="0">
    <w:p w14:paraId="07D9F5D1" w14:textId="77777777" w:rsidR="00E63379" w:rsidRDefault="00E63379">
      <w:r>
        <w:continuationSeparator/>
      </w:r>
    </w:p>
  </w:endnote>
  <w:endnote w:id="1">
    <w:p w14:paraId="29ED2091" w14:textId="6C41FEB5" w:rsidR="00E63379" w:rsidRPr="001751BA" w:rsidRDefault="00E63379" w:rsidP="00D901C6">
      <w:pPr>
        <w:ind w:firstLine="709"/>
        <w:jc w:val="both"/>
        <w:rPr>
          <w:rFonts w:ascii="Times New Roman" w:hAnsi="Times New Roman" w:cs="Times New Roman"/>
          <w:sz w:val="22"/>
          <w:szCs w:val="22"/>
        </w:rPr>
      </w:pPr>
      <w:r w:rsidRPr="001751BA">
        <w:rPr>
          <w:rStyle w:val="EndnoteReference"/>
          <w:sz w:val="22"/>
          <w:szCs w:val="22"/>
        </w:rPr>
        <w:endnoteRef/>
      </w:r>
      <w:r w:rsidRPr="001751BA">
        <w:rPr>
          <w:sz w:val="22"/>
          <w:szCs w:val="22"/>
        </w:rPr>
        <w:t xml:space="preserve"> </w:t>
      </w:r>
      <w:r w:rsidRPr="001751BA">
        <w:rPr>
          <w:rFonts w:ascii="Times New Roman" w:hAnsi="Times New Roman" w:cs="Times New Roman"/>
          <w:sz w:val="22"/>
          <w:szCs w:val="22"/>
        </w:rPr>
        <w:t xml:space="preserve">Brint’s (1990) for example has </w:t>
      </w:r>
      <w:r>
        <w:rPr>
          <w:rFonts w:ascii="Times New Roman" w:hAnsi="Times New Roman" w:cs="Times New Roman"/>
          <w:sz w:val="22"/>
          <w:szCs w:val="22"/>
        </w:rPr>
        <w:t>not</w:t>
      </w:r>
      <w:r w:rsidRPr="001751BA">
        <w:rPr>
          <w:rFonts w:ascii="Times New Roman" w:hAnsi="Times New Roman" w:cs="Times New Roman"/>
          <w:sz w:val="22"/>
          <w:szCs w:val="22"/>
        </w:rPr>
        <w:t xml:space="preserve">ed that the literature on professional consultants in general has argued for at least one of four </w:t>
      </w:r>
      <w:r w:rsidRPr="001751BA">
        <w:rPr>
          <w:rFonts w:ascii="Times New Roman" w:hAnsi="Times New Roman"/>
          <w:color w:val="000000"/>
          <w:sz w:val="22"/>
          <w:szCs w:val="22"/>
        </w:rPr>
        <w:t>‘principle positions’ that experts can have in public policy processes, based on the experts’ capacity to dominate the policy-making process:</w:t>
      </w:r>
    </w:p>
    <w:p w14:paraId="09072888" w14:textId="77777777" w:rsidR="00E63379" w:rsidRPr="001751BA" w:rsidRDefault="00E63379" w:rsidP="00D901C6">
      <w:pPr>
        <w:pStyle w:val="ListParagraph"/>
        <w:numPr>
          <w:ilvl w:val="0"/>
          <w:numId w:val="2"/>
        </w:numPr>
        <w:ind w:left="851"/>
        <w:jc w:val="both"/>
        <w:rPr>
          <w:rFonts w:ascii="Times New Roman" w:hAnsi="Times New Roman"/>
          <w:sz w:val="22"/>
          <w:szCs w:val="22"/>
        </w:rPr>
      </w:pPr>
      <w:r w:rsidRPr="001751BA">
        <w:rPr>
          <w:rFonts w:ascii="Times New Roman" w:hAnsi="Times New Roman"/>
          <w:i/>
          <w:sz w:val="22"/>
          <w:szCs w:val="22"/>
        </w:rPr>
        <w:t xml:space="preserve">Technocracy </w:t>
      </w:r>
      <w:r w:rsidRPr="001751BA">
        <w:rPr>
          <w:rFonts w:ascii="Times New Roman" w:hAnsi="Times New Roman"/>
          <w:sz w:val="22"/>
          <w:szCs w:val="22"/>
        </w:rPr>
        <w:t>- experts possess increasing influence on policy-making as the subjects of government action become more technical and complex.</w:t>
      </w:r>
    </w:p>
    <w:p w14:paraId="72AA9250" w14:textId="77777777" w:rsidR="00E63379" w:rsidRPr="001751BA" w:rsidRDefault="00E63379" w:rsidP="00D901C6">
      <w:pPr>
        <w:pStyle w:val="ListParagraph"/>
        <w:numPr>
          <w:ilvl w:val="0"/>
          <w:numId w:val="2"/>
        </w:numPr>
        <w:ind w:left="851"/>
        <w:jc w:val="both"/>
        <w:rPr>
          <w:rFonts w:ascii="Times New Roman" w:hAnsi="Times New Roman" w:cs="Times New Roman"/>
          <w:sz w:val="22"/>
          <w:szCs w:val="22"/>
        </w:rPr>
      </w:pPr>
      <w:r w:rsidRPr="001751BA">
        <w:rPr>
          <w:rFonts w:ascii="Times New Roman" w:hAnsi="Times New Roman"/>
          <w:i/>
          <w:sz w:val="22"/>
          <w:szCs w:val="22"/>
        </w:rPr>
        <w:t>Servants of Power</w:t>
      </w:r>
      <w:r w:rsidRPr="001751BA">
        <w:rPr>
          <w:rFonts w:ascii="Times New Roman" w:hAnsi="Times New Roman"/>
          <w:sz w:val="22"/>
          <w:szCs w:val="22"/>
        </w:rPr>
        <w:t xml:space="preserve"> – experts are merely ‘servants’ of the powerful. They provide ‘window dressing’ or a legitimate gloss on decisions taken for non-technical reasons.</w:t>
      </w:r>
    </w:p>
    <w:p w14:paraId="14BC0E03" w14:textId="77777777" w:rsidR="00E63379" w:rsidRPr="001751BA" w:rsidRDefault="00E63379" w:rsidP="00D901C6">
      <w:pPr>
        <w:pStyle w:val="ListParagraph"/>
        <w:numPr>
          <w:ilvl w:val="0"/>
          <w:numId w:val="2"/>
        </w:numPr>
        <w:ind w:left="851"/>
        <w:jc w:val="both"/>
        <w:rPr>
          <w:rFonts w:ascii="Times New Roman" w:hAnsi="Times New Roman" w:cs="Times New Roman"/>
          <w:sz w:val="22"/>
          <w:szCs w:val="22"/>
        </w:rPr>
      </w:pPr>
      <w:r w:rsidRPr="001751BA">
        <w:rPr>
          <w:rFonts w:ascii="Times New Roman" w:hAnsi="Times New Roman"/>
          <w:i/>
          <w:sz w:val="22"/>
          <w:szCs w:val="22"/>
        </w:rPr>
        <w:t>Limited Mandates</w:t>
      </w:r>
      <w:r w:rsidRPr="001751BA">
        <w:rPr>
          <w:rFonts w:ascii="Times New Roman" w:hAnsi="Times New Roman"/>
          <w:sz w:val="22"/>
          <w:szCs w:val="22"/>
        </w:rPr>
        <w:t xml:space="preserve"> – in this intermediate position experts can be expected to overrule or dominate policy-making only in those areas that require technical knowledge.</w:t>
      </w:r>
    </w:p>
    <w:p w14:paraId="0D7241D0" w14:textId="77777777" w:rsidR="00E63379" w:rsidRPr="001751BA" w:rsidRDefault="00E63379" w:rsidP="00D901C6">
      <w:pPr>
        <w:pStyle w:val="ListParagraph"/>
        <w:numPr>
          <w:ilvl w:val="0"/>
          <w:numId w:val="2"/>
        </w:numPr>
        <w:ind w:left="851"/>
        <w:jc w:val="both"/>
        <w:rPr>
          <w:rFonts w:ascii="Times New Roman" w:hAnsi="Times New Roman" w:cs="Times New Roman"/>
          <w:sz w:val="22"/>
          <w:szCs w:val="22"/>
        </w:rPr>
      </w:pPr>
      <w:r w:rsidRPr="001751BA">
        <w:rPr>
          <w:rFonts w:ascii="Times New Roman" w:hAnsi="Times New Roman"/>
          <w:i/>
          <w:sz w:val="22"/>
          <w:szCs w:val="22"/>
        </w:rPr>
        <w:t>Extensive Mandates</w:t>
      </w:r>
      <w:r w:rsidRPr="001751BA">
        <w:rPr>
          <w:rFonts w:ascii="Times New Roman" w:hAnsi="Times New Roman"/>
          <w:sz w:val="22"/>
          <w:szCs w:val="22"/>
        </w:rPr>
        <w:t xml:space="preserve"> - another intermediate position but closer to the technocracy one. Here professional non-governmental bodies have a large impact on more than their areas of expertise, but not on all areas as suggested by the technocracy thesis.</w:t>
      </w:r>
    </w:p>
    <w:p w14:paraId="73538F4B" w14:textId="77777777" w:rsidR="00E63379" w:rsidRPr="001751BA" w:rsidRDefault="00E63379" w:rsidP="00D901C6">
      <w:pPr>
        <w:pStyle w:val="EndnoteText"/>
        <w:jc w:val="both"/>
        <w:rPr>
          <w:sz w:val="22"/>
          <w:szCs w:val="22"/>
        </w:rPr>
      </w:pPr>
      <w:r w:rsidRPr="001751BA">
        <w:rPr>
          <w:rFonts w:ascii="Times New Roman" w:hAnsi="Times New Roman" w:cs="Times New Roman"/>
          <w:sz w:val="22"/>
          <w:szCs w:val="22"/>
        </w:rPr>
        <w:t>Policy scholars remain divided about over the impact that policy consultants have on the policy process. Their estimated vary from a ‘strong’ influence on policy-makers to suggestions that this influence is at best diffuse and weak (Bloomfield and Best 1992). Consultants are seen as either independent ‘agents of change’ (Lapsley and Oldfield 2001; Tisdall 1982) or as weak, ‘liminal’ subjects dependent for any potential influence on allowances made for this by their employers (Czarniawska and Mazza. 2003; Garsten 1999; Bloomfield and Danieli 1995).</w:t>
      </w:r>
    </w:p>
  </w:endnote>
  <w:endnote w:id="2">
    <w:p w14:paraId="67AD1C11" w14:textId="77777777" w:rsidR="00E63379" w:rsidRPr="001751BA" w:rsidRDefault="00E63379" w:rsidP="00164415">
      <w:pPr>
        <w:ind w:firstLine="709"/>
        <w:jc w:val="both"/>
        <w:rPr>
          <w:rFonts w:ascii="Times New Roman" w:hAnsi="Times New Roman" w:cs="Times New Roman"/>
          <w:sz w:val="22"/>
          <w:szCs w:val="22"/>
        </w:rPr>
      </w:pPr>
      <w:r w:rsidRPr="001751BA">
        <w:rPr>
          <w:rStyle w:val="EndnoteReference"/>
          <w:sz w:val="22"/>
          <w:szCs w:val="22"/>
        </w:rPr>
        <w:endnoteRef/>
      </w:r>
      <w:r w:rsidRPr="001751BA">
        <w:rPr>
          <w:sz w:val="22"/>
          <w:szCs w:val="22"/>
        </w:rPr>
        <w:t xml:space="preserve"> </w:t>
      </w:r>
      <w:r w:rsidRPr="001751BA">
        <w:rPr>
          <w:rFonts w:ascii="Times New Roman" w:hAnsi="Times New Roman"/>
          <w:sz w:val="22"/>
          <w:szCs w:val="22"/>
        </w:rPr>
        <w:t xml:space="preserve">In terms of explaining the surge in the use of consulting services </w:t>
      </w:r>
      <w:r w:rsidRPr="001751BA">
        <w:rPr>
          <w:rFonts w:ascii="Times New Roman" w:eastAsia="Times New Roman" w:hAnsi="Times New Roman" w:cs="Times New Roman"/>
          <w:sz w:val="22"/>
          <w:szCs w:val="22"/>
        </w:rPr>
        <w:t xml:space="preserve">Ernst and Kieser (2002) argue that there are three broad areas for which consulting is used: </w:t>
      </w:r>
      <w:r w:rsidRPr="001751BA">
        <w:rPr>
          <w:rFonts w:ascii="Times New Roman" w:hAnsi="Times New Roman" w:cs="Times New Roman"/>
          <w:sz w:val="22"/>
          <w:szCs w:val="22"/>
        </w:rPr>
        <w:t>supplying needed technical skills, symbolic impression management, and legitimization and change management. The first option hinges on a technocratic explanation, which is the most benign way of addressing the issue: governments hire consultants when they face skill shortages and need a temporary increase in skill sets within their organizational structure. Opinions differ in the literature on whether this has positive or negative effect on the whole upon organizations but recent research has pointed out that if</w:t>
      </w:r>
      <w:r w:rsidRPr="001751BA">
        <w:rPr>
          <w:rFonts w:ascii="Times New Roman" w:hAnsi="Times New Roman"/>
          <w:bCs/>
          <w:color w:val="000000"/>
          <w:sz w:val="22"/>
          <w:szCs w:val="22"/>
        </w:rPr>
        <w:t xml:space="preserve"> external expertise is sought on a continuous basis, departmental competencies begin to shift (Page 2010) and in the case of policy a ‘brain brain’ may occur (</w:t>
      </w:r>
      <w:r w:rsidRPr="001751BA">
        <w:rPr>
          <w:rFonts w:ascii="Times New Roman" w:hAnsi="Times New Roman"/>
          <w:sz w:val="22"/>
          <w:szCs w:val="22"/>
        </w:rPr>
        <w:t>Radcliffe 2010).</w:t>
      </w:r>
      <w:r w:rsidRPr="001751BA">
        <w:rPr>
          <w:rFonts w:ascii="Times New Roman" w:hAnsi="Times New Roman" w:cs="Times New Roman"/>
          <w:sz w:val="22"/>
          <w:szCs w:val="22"/>
        </w:rPr>
        <w:t xml:space="preserve"> </w:t>
      </w:r>
      <w:r w:rsidRPr="001751BA">
        <w:rPr>
          <w:rFonts w:ascii="Times New Roman" w:hAnsi="Times New Roman"/>
          <w:bCs/>
          <w:color w:val="000000"/>
          <w:sz w:val="22"/>
          <w:szCs w:val="22"/>
        </w:rPr>
        <w:t xml:space="preserve">Page (2010) distinguished between four types of expertise relevant in government: Scientific, Policy, Process, and Instrument expertise. Of late internal government experts have tended to focus on process expertise (Page and Jenkins 2005; Page 2010), creating the opportunity for external experts to become influent in the other areas of expertise within government (Page 2010). </w:t>
      </w:r>
    </w:p>
    <w:p w14:paraId="771AA0B3" w14:textId="77777777" w:rsidR="00E63379" w:rsidRPr="001751BA" w:rsidRDefault="00E63379" w:rsidP="00164415">
      <w:pPr>
        <w:ind w:firstLine="720"/>
        <w:jc w:val="both"/>
        <w:rPr>
          <w:rFonts w:ascii="Times New Roman" w:eastAsia="Times New Roman" w:hAnsi="Times New Roman" w:cs="Times New Roman"/>
          <w:sz w:val="22"/>
          <w:szCs w:val="22"/>
        </w:rPr>
      </w:pPr>
      <w:r w:rsidRPr="001751BA">
        <w:rPr>
          <w:rFonts w:ascii="Times New Roman" w:hAnsi="Times New Roman"/>
          <w:bCs/>
          <w:color w:val="000000"/>
          <w:sz w:val="22"/>
          <w:szCs w:val="22"/>
        </w:rPr>
        <w:t>Symbolic impression management explanations instead tend to downplay the expertise approach and see consultants as less benign actors. Here we see them depicted more squarely as tools in bureaucratic conflict, where their expertise is utilized to support a specific policy choice (</w:t>
      </w:r>
      <w:r w:rsidRPr="001751BA">
        <w:rPr>
          <w:rFonts w:ascii="Times New Roman" w:eastAsia="Times New Roman" w:hAnsi="Times New Roman" w:cs="Times New Roman"/>
          <w:sz w:val="22"/>
          <w:szCs w:val="22"/>
        </w:rPr>
        <w:t>Clark 1995; Clark and Salaman 1996). Ultimately, this leads to ‘duels’ among consultants hired by different factions within the bureaucracy (van Houten and Goldman 1981) rather than developing efficiency and cost-savings.</w:t>
      </w:r>
    </w:p>
    <w:p w14:paraId="5393DBC7" w14:textId="77777777" w:rsidR="00E63379" w:rsidRPr="00164415" w:rsidRDefault="00E63379" w:rsidP="00164415">
      <w:pPr>
        <w:ind w:firstLine="720"/>
        <w:jc w:val="both"/>
        <w:rPr>
          <w:rFonts w:ascii="Times New Roman" w:eastAsia="Times New Roman" w:hAnsi="Times New Roman" w:cs="Times New Roman"/>
        </w:rPr>
      </w:pPr>
      <w:r w:rsidRPr="001751BA">
        <w:rPr>
          <w:rFonts w:ascii="Times New Roman" w:eastAsia="Times New Roman" w:hAnsi="Times New Roman" w:cs="Times New Roman"/>
          <w:sz w:val="22"/>
          <w:szCs w:val="22"/>
        </w:rPr>
        <w:t>Finally some scholars focus on the use of consultants not on an optional basis, as was the case for the two previous situations, but as a necessary tool in evaluating ongoing programs. This is a common approach</w:t>
      </w:r>
      <w:r>
        <w:rPr>
          <w:rFonts w:ascii="Times New Roman" w:eastAsia="Times New Roman" w:hAnsi="Times New Roman" w:cs="Times New Roman"/>
          <w:sz w:val="22"/>
          <w:szCs w:val="22"/>
        </w:rPr>
        <w:t>,</w:t>
      </w:r>
      <w:r w:rsidRPr="001751BA">
        <w:rPr>
          <w:rFonts w:ascii="Times New Roman" w:eastAsia="Times New Roman" w:hAnsi="Times New Roman" w:cs="Times New Roman"/>
          <w:sz w:val="22"/>
          <w:szCs w:val="22"/>
        </w:rPr>
        <w:t xml:space="preserve"> which is perceived to inject ‘neutrality’ and ‘objectivity’ into the process of evaluation and that frequently uses consultants for this task (Speers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C3518" w14:textId="77777777" w:rsidR="00E63379" w:rsidRDefault="00E63379" w:rsidP="004A2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DC2C5" w14:textId="77777777" w:rsidR="00E63379" w:rsidRDefault="00E63379" w:rsidP="002115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12F5" w14:textId="77777777" w:rsidR="00E63379" w:rsidRDefault="00E63379" w:rsidP="004A2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F2E">
      <w:rPr>
        <w:rStyle w:val="PageNumber"/>
        <w:noProof/>
      </w:rPr>
      <w:t>1</w:t>
    </w:r>
    <w:r>
      <w:rPr>
        <w:rStyle w:val="PageNumber"/>
      </w:rPr>
      <w:fldChar w:fldCharType="end"/>
    </w:r>
  </w:p>
  <w:p w14:paraId="28BA0E8E" w14:textId="77777777" w:rsidR="00E63379" w:rsidRDefault="00E63379" w:rsidP="002115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8C2AF" w14:textId="77777777" w:rsidR="00E63379" w:rsidRDefault="00E63379">
      <w:r>
        <w:separator/>
      </w:r>
    </w:p>
  </w:footnote>
  <w:footnote w:type="continuationSeparator" w:id="0">
    <w:p w14:paraId="468FA9C3" w14:textId="77777777" w:rsidR="00E63379" w:rsidRDefault="00E633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4A35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18680E"/>
    <w:lvl w:ilvl="0">
      <w:start w:val="1"/>
      <w:numFmt w:val="decimal"/>
      <w:lvlText w:val="%1."/>
      <w:lvlJc w:val="left"/>
      <w:pPr>
        <w:tabs>
          <w:tab w:val="num" w:pos="1492"/>
        </w:tabs>
        <w:ind w:left="1492" w:hanging="360"/>
      </w:pPr>
    </w:lvl>
  </w:abstractNum>
  <w:abstractNum w:abstractNumId="2">
    <w:nsid w:val="FFFFFF7D"/>
    <w:multiLevelType w:val="singleLevel"/>
    <w:tmpl w:val="7396C166"/>
    <w:lvl w:ilvl="0">
      <w:start w:val="1"/>
      <w:numFmt w:val="decimal"/>
      <w:lvlText w:val="%1."/>
      <w:lvlJc w:val="left"/>
      <w:pPr>
        <w:tabs>
          <w:tab w:val="num" w:pos="1209"/>
        </w:tabs>
        <w:ind w:left="1209" w:hanging="360"/>
      </w:pPr>
    </w:lvl>
  </w:abstractNum>
  <w:abstractNum w:abstractNumId="3">
    <w:nsid w:val="FFFFFF7E"/>
    <w:multiLevelType w:val="singleLevel"/>
    <w:tmpl w:val="F4AC11E8"/>
    <w:lvl w:ilvl="0">
      <w:start w:val="1"/>
      <w:numFmt w:val="decimal"/>
      <w:lvlText w:val="%1."/>
      <w:lvlJc w:val="left"/>
      <w:pPr>
        <w:tabs>
          <w:tab w:val="num" w:pos="926"/>
        </w:tabs>
        <w:ind w:left="926" w:hanging="360"/>
      </w:pPr>
    </w:lvl>
  </w:abstractNum>
  <w:abstractNum w:abstractNumId="4">
    <w:nsid w:val="FFFFFF7F"/>
    <w:multiLevelType w:val="singleLevel"/>
    <w:tmpl w:val="7162456E"/>
    <w:lvl w:ilvl="0">
      <w:start w:val="1"/>
      <w:numFmt w:val="decimal"/>
      <w:lvlText w:val="%1."/>
      <w:lvlJc w:val="left"/>
      <w:pPr>
        <w:tabs>
          <w:tab w:val="num" w:pos="643"/>
        </w:tabs>
        <w:ind w:left="643" w:hanging="360"/>
      </w:pPr>
    </w:lvl>
  </w:abstractNum>
  <w:abstractNum w:abstractNumId="5">
    <w:nsid w:val="FFFFFF80"/>
    <w:multiLevelType w:val="singleLevel"/>
    <w:tmpl w:val="56F8D3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A221B2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9025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E4F9B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B2017C"/>
    <w:lvl w:ilvl="0">
      <w:start w:val="1"/>
      <w:numFmt w:val="decimal"/>
      <w:lvlText w:val="%1."/>
      <w:lvlJc w:val="left"/>
      <w:pPr>
        <w:tabs>
          <w:tab w:val="num" w:pos="360"/>
        </w:tabs>
        <w:ind w:left="360" w:hanging="360"/>
      </w:pPr>
    </w:lvl>
  </w:abstractNum>
  <w:abstractNum w:abstractNumId="10">
    <w:nsid w:val="FFFFFF89"/>
    <w:multiLevelType w:val="singleLevel"/>
    <w:tmpl w:val="200E2CD0"/>
    <w:lvl w:ilvl="0">
      <w:start w:val="1"/>
      <w:numFmt w:val="bullet"/>
      <w:lvlText w:val=""/>
      <w:lvlJc w:val="left"/>
      <w:pPr>
        <w:tabs>
          <w:tab w:val="num" w:pos="360"/>
        </w:tabs>
        <w:ind w:left="360" w:hanging="360"/>
      </w:pPr>
      <w:rPr>
        <w:rFonts w:ascii="Symbol" w:hAnsi="Symbol" w:hint="default"/>
      </w:rPr>
    </w:lvl>
  </w:abstractNum>
  <w:abstractNum w:abstractNumId="11">
    <w:nsid w:val="1BFA0CB7"/>
    <w:multiLevelType w:val="hybridMultilevel"/>
    <w:tmpl w:val="163A15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5F42BBF"/>
    <w:multiLevelType w:val="hybridMultilevel"/>
    <w:tmpl w:val="89B2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58"/>
    <w:rsid w:val="00007CD5"/>
    <w:rsid w:val="00031F3A"/>
    <w:rsid w:val="000372AE"/>
    <w:rsid w:val="0004080F"/>
    <w:rsid w:val="00047DCE"/>
    <w:rsid w:val="000543B8"/>
    <w:rsid w:val="00054409"/>
    <w:rsid w:val="000553E8"/>
    <w:rsid w:val="000846E9"/>
    <w:rsid w:val="000917B5"/>
    <w:rsid w:val="0009664C"/>
    <w:rsid w:val="000B2B91"/>
    <w:rsid w:val="000D1589"/>
    <w:rsid w:val="000D226F"/>
    <w:rsid w:val="001003BA"/>
    <w:rsid w:val="00104316"/>
    <w:rsid w:val="0013032A"/>
    <w:rsid w:val="00155D34"/>
    <w:rsid w:val="00164415"/>
    <w:rsid w:val="001650A9"/>
    <w:rsid w:val="00166002"/>
    <w:rsid w:val="0016682E"/>
    <w:rsid w:val="001751BA"/>
    <w:rsid w:val="001C4077"/>
    <w:rsid w:val="001C66D4"/>
    <w:rsid w:val="001D2358"/>
    <w:rsid w:val="001D2900"/>
    <w:rsid w:val="001D2B34"/>
    <w:rsid w:val="001D5C60"/>
    <w:rsid w:val="001E0E6B"/>
    <w:rsid w:val="001E2CA0"/>
    <w:rsid w:val="001F2BC4"/>
    <w:rsid w:val="001F7FDF"/>
    <w:rsid w:val="00200DB4"/>
    <w:rsid w:val="00211572"/>
    <w:rsid w:val="00211A12"/>
    <w:rsid w:val="00217E4B"/>
    <w:rsid w:val="00246346"/>
    <w:rsid w:val="00246C28"/>
    <w:rsid w:val="00274BEC"/>
    <w:rsid w:val="00280A9C"/>
    <w:rsid w:val="00282780"/>
    <w:rsid w:val="00295794"/>
    <w:rsid w:val="002A4889"/>
    <w:rsid w:val="002C0329"/>
    <w:rsid w:val="002D70D6"/>
    <w:rsid w:val="002E2A7C"/>
    <w:rsid w:val="002E6883"/>
    <w:rsid w:val="002E72E7"/>
    <w:rsid w:val="00305FE3"/>
    <w:rsid w:val="00313044"/>
    <w:rsid w:val="00315B71"/>
    <w:rsid w:val="003278D7"/>
    <w:rsid w:val="00346DEF"/>
    <w:rsid w:val="00354D55"/>
    <w:rsid w:val="003720B8"/>
    <w:rsid w:val="003809D1"/>
    <w:rsid w:val="00381D96"/>
    <w:rsid w:val="00382CF9"/>
    <w:rsid w:val="00390CF9"/>
    <w:rsid w:val="003B2DA6"/>
    <w:rsid w:val="003C73C9"/>
    <w:rsid w:val="003D6846"/>
    <w:rsid w:val="003F6F9E"/>
    <w:rsid w:val="00416BF4"/>
    <w:rsid w:val="0042678E"/>
    <w:rsid w:val="00435B4E"/>
    <w:rsid w:val="00443F6F"/>
    <w:rsid w:val="004552EF"/>
    <w:rsid w:val="00457E81"/>
    <w:rsid w:val="00477894"/>
    <w:rsid w:val="0048369C"/>
    <w:rsid w:val="004A1E65"/>
    <w:rsid w:val="004A2E64"/>
    <w:rsid w:val="004D3D25"/>
    <w:rsid w:val="004E605C"/>
    <w:rsid w:val="004E766A"/>
    <w:rsid w:val="00504951"/>
    <w:rsid w:val="00510E99"/>
    <w:rsid w:val="005126C3"/>
    <w:rsid w:val="005245DD"/>
    <w:rsid w:val="00541E43"/>
    <w:rsid w:val="00544ED2"/>
    <w:rsid w:val="00553ED0"/>
    <w:rsid w:val="005673FA"/>
    <w:rsid w:val="005B4724"/>
    <w:rsid w:val="005C1D61"/>
    <w:rsid w:val="005C2F00"/>
    <w:rsid w:val="005C4F57"/>
    <w:rsid w:val="005C56D3"/>
    <w:rsid w:val="005D180A"/>
    <w:rsid w:val="005F7C4C"/>
    <w:rsid w:val="00600BE2"/>
    <w:rsid w:val="00605A5D"/>
    <w:rsid w:val="006171DB"/>
    <w:rsid w:val="00632CED"/>
    <w:rsid w:val="006403EF"/>
    <w:rsid w:val="0064082E"/>
    <w:rsid w:val="00652E46"/>
    <w:rsid w:val="00662E73"/>
    <w:rsid w:val="00664562"/>
    <w:rsid w:val="0066682E"/>
    <w:rsid w:val="00675890"/>
    <w:rsid w:val="006854CC"/>
    <w:rsid w:val="006B02EA"/>
    <w:rsid w:val="006C3191"/>
    <w:rsid w:val="006D5FEC"/>
    <w:rsid w:val="006F754C"/>
    <w:rsid w:val="007117EA"/>
    <w:rsid w:val="007220F0"/>
    <w:rsid w:val="007341B8"/>
    <w:rsid w:val="007345A7"/>
    <w:rsid w:val="00734C49"/>
    <w:rsid w:val="00760D8C"/>
    <w:rsid w:val="0076170D"/>
    <w:rsid w:val="007622D9"/>
    <w:rsid w:val="007640EE"/>
    <w:rsid w:val="00780529"/>
    <w:rsid w:val="00792CAB"/>
    <w:rsid w:val="007B7693"/>
    <w:rsid w:val="007C2393"/>
    <w:rsid w:val="008050C6"/>
    <w:rsid w:val="008150F7"/>
    <w:rsid w:val="00822492"/>
    <w:rsid w:val="00825F2E"/>
    <w:rsid w:val="0083539B"/>
    <w:rsid w:val="00862AD5"/>
    <w:rsid w:val="008735D6"/>
    <w:rsid w:val="00877E55"/>
    <w:rsid w:val="008874C3"/>
    <w:rsid w:val="00893B4F"/>
    <w:rsid w:val="0089759D"/>
    <w:rsid w:val="008A2B2E"/>
    <w:rsid w:val="008A468F"/>
    <w:rsid w:val="008B0A1E"/>
    <w:rsid w:val="008B0B3C"/>
    <w:rsid w:val="008C3EA5"/>
    <w:rsid w:val="008E7AD0"/>
    <w:rsid w:val="008F1CFD"/>
    <w:rsid w:val="008F22ED"/>
    <w:rsid w:val="0092566F"/>
    <w:rsid w:val="00930CB1"/>
    <w:rsid w:val="00947AA1"/>
    <w:rsid w:val="00952792"/>
    <w:rsid w:val="00953674"/>
    <w:rsid w:val="009603F4"/>
    <w:rsid w:val="00971F1A"/>
    <w:rsid w:val="00980F71"/>
    <w:rsid w:val="009961ED"/>
    <w:rsid w:val="009B71BB"/>
    <w:rsid w:val="00A01348"/>
    <w:rsid w:val="00A10269"/>
    <w:rsid w:val="00A1482A"/>
    <w:rsid w:val="00A253F4"/>
    <w:rsid w:val="00A36C10"/>
    <w:rsid w:val="00A55498"/>
    <w:rsid w:val="00A66DED"/>
    <w:rsid w:val="00A6745B"/>
    <w:rsid w:val="00A83BD0"/>
    <w:rsid w:val="00A97102"/>
    <w:rsid w:val="00AD7751"/>
    <w:rsid w:val="00AE6DEF"/>
    <w:rsid w:val="00AE7658"/>
    <w:rsid w:val="00AF0AC2"/>
    <w:rsid w:val="00B1749F"/>
    <w:rsid w:val="00B3000E"/>
    <w:rsid w:val="00B37D1D"/>
    <w:rsid w:val="00B41FDC"/>
    <w:rsid w:val="00B451FC"/>
    <w:rsid w:val="00B46F6D"/>
    <w:rsid w:val="00B52D47"/>
    <w:rsid w:val="00B54454"/>
    <w:rsid w:val="00B54ADF"/>
    <w:rsid w:val="00B609BD"/>
    <w:rsid w:val="00B66F10"/>
    <w:rsid w:val="00B70C93"/>
    <w:rsid w:val="00B75CAE"/>
    <w:rsid w:val="00B964D6"/>
    <w:rsid w:val="00BA69E2"/>
    <w:rsid w:val="00BC22CF"/>
    <w:rsid w:val="00BC3173"/>
    <w:rsid w:val="00BE349B"/>
    <w:rsid w:val="00BF2D20"/>
    <w:rsid w:val="00C01A2F"/>
    <w:rsid w:val="00C04D75"/>
    <w:rsid w:val="00C16ABA"/>
    <w:rsid w:val="00C771FF"/>
    <w:rsid w:val="00C81579"/>
    <w:rsid w:val="00C8326D"/>
    <w:rsid w:val="00C87B34"/>
    <w:rsid w:val="00C902F6"/>
    <w:rsid w:val="00C90952"/>
    <w:rsid w:val="00CA49E2"/>
    <w:rsid w:val="00CB0335"/>
    <w:rsid w:val="00CC4F3E"/>
    <w:rsid w:val="00CC6C27"/>
    <w:rsid w:val="00CC7552"/>
    <w:rsid w:val="00CD2B12"/>
    <w:rsid w:val="00CF01CA"/>
    <w:rsid w:val="00D22E62"/>
    <w:rsid w:val="00D27F44"/>
    <w:rsid w:val="00D40262"/>
    <w:rsid w:val="00D454BD"/>
    <w:rsid w:val="00D64979"/>
    <w:rsid w:val="00D7231F"/>
    <w:rsid w:val="00D7246C"/>
    <w:rsid w:val="00D72F0A"/>
    <w:rsid w:val="00D901C6"/>
    <w:rsid w:val="00D922CD"/>
    <w:rsid w:val="00DB2E27"/>
    <w:rsid w:val="00DC2516"/>
    <w:rsid w:val="00DC6CA1"/>
    <w:rsid w:val="00DD00A5"/>
    <w:rsid w:val="00DD7ED2"/>
    <w:rsid w:val="00DE60B0"/>
    <w:rsid w:val="00DE6B17"/>
    <w:rsid w:val="00DE7E7F"/>
    <w:rsid w:val="00E03EFF"/>
    <w:rsid w:val="00E05F9A"/>
    <w:rsid w:val="00E1296E"/>
    <w:rsid w:val="00E14CC0"/>
    <w:rsid w:val="00E63379"/>
    <w:rsid w:val="00E81B44"/>
    <w:rsid w:val="00E81D70"/>
    <w:rsid w:val="00E93AF0"/>
    <w:rsid w:val="00EB2675"/>
    <w:rsid w:val="00EB49D7"/>
    <w:rsid w:val="00ED39A7"/>
    <w:rsid w:val="00ED52CA"/>
    <w:rsid w:val="00EE46F5"/>
    <w:rsid w:val="00EF59C3"/>
    <w:rsid w:val="00F14489"/>
    <w:rsid w:val="00F2003C"/>
    <w:rsid w:val="00F322EA"/>
    <w:rsid w:val="00F53F9E"/>
    <w:rsid w:val="00F64F63"/>
    <w:rsid w:val="00F81B03"/>
    <w:rsid w:val="00F9684A"/>
    <w:rsid w:val="00F96AFB"/>
    <w:rsid w:val="00FA559F"/>
    <w:rsid w:val="00FB0997"/>
    <w:rsid w:val="00FB1D20"/>
    <w:rsid w:val="00FD30CC"/>
    <w:rsid w:val="00FE6D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C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16ABA"/>
    <w:rPr>
      <w:rFonts w:ascii="Lucida Grande" w:hAnsi="Lucida Grande"/>
      <w:sz w:val="18"/>
      <w:szCs w:val="18"/>
    </w:rPr>
  </w:style>
  <w:style w:type="character" w:customStyle="1" w:styleId="BalloonTextChar">
    <w:name w:val="Balloon Text Char"/>
    <w:basedOn w:val="DefaultParagraphFont"/>
    <w:uiPriority w:val="99"/>
    <w:semiHidden/>
    <w:rsid w:val="00D12AE1"/>
    <w:rPr>
      <w:rFonts w:ascii="Lucida Grande" w:hAnsi="Lucida Grande"/>
      <w:sz w:val="18"/>
      <w:szCs w:val="18"/>
    </w:rPr>
  </w:style>
  <w:style w:type="character" w:customStyle="1" w:styleId="BalloonTextChar1">
    <w:name w:val="Balloon Text Char1"/>
    <w:basedOn w:val="DefaultParagraphFont"/>
    <w:link w:val="BalloonText"/>
    <w:rsid w:val="00C16ABA"/>
    <w:rPr>
      <w:rFonts w:ascii="Lucida Grande" w:hAnsi="Lucida Grande"/>
      <w:sz w:val="18"/>
      <w:szCs w:val="18"/>
    </w:rPr>
  </w:style>
  <w:style w:type="character" w:customStyle="1" w:styleId="BalloonTextChar0">
    <w:name w:val="Balloon Text Char"/>
    <w:basedOn w:val="DefaultParagraphFont"/>
    <w:uiPriority w:val="99"/>
    <w:semiHidden/>
    <w:rsid w:val="00170D3A"/>
    <w:rPr>
      <w:rFonts w:ascii="Lucida Grande" w:hAnsi="Lucida Grande"/>
      <w:sz w:val="18"/>
      <w:szCs w:val="18"/>
    </w:rPr>
  </w:style>
  <w:style w:type="table" w:styleId="TableGrid">
    <w:name w:val="Table Grid"/>
    <w:basedOn w:val="TableNormal"/>
    <w:rsid w:val="007805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11572"/>
    <w:pPr>
      <w:tabs>
        <w:tab w:val="center" w:pos="4320"/>
        <w:tab w:val="right" w:pos="8640"/>
      </w:tabs>
    </w:pPr>
  </w:style>
  <w:style w:type="character" w:customStyle="1" w:styleId="FooterChar">
    <w:name w:val="Footer Char"/>
    <w:basedOn w:val="DefaultParagraphFont"/>
    <w:link w:val="Footer"/>
    <w:rsid w:val="00211572"/>
  </w:style>
  <w:style w:type="character" w:styleId="PageNumber">
    <w:name w:val="page number"/>
    <w:basedOn w:val="DefaultParagraphFont"/>
    <w:rsid w:val="00211572"/>
  </w:style>
  <w:style w:type="character" w:styleId="Hyperlink">
    <w:name w:val="Hyperlink"/>
    <w:basedOn w:val="DefaultParagraphFont"/>
    <w:uiPriority w:val="99"/>
    <w:rsid w:val="00A01348"/>
    <w:rPr>
      <w:color w:val="0000FF"/>
      <w:u w:val="single"/>
    </w:rPr>
  </w:style>
  <w:style w:type="paragraph" w:styleId="Bibliography">
    <w:name w:val="Bibliography"/>
    <w:basedOn w:val="Normal"/>
    <w:next w:val="Normal"/>
    <w:uiPriority w:val="37"/>
    <w:unhideWhenUsed/>
    <w:rsid w:val="00A01348"/>
  </w:style>
  <w:style w:type="paragraph" w:styleId="ListParagraph">
    <w:name w:val="List Paragraph"/>
    <w:basedOn w:val="Normal"/>
    <w:rsid w:val="00007CD5"/>
    <w:pPr>
      <w:ind w:left="720"/>
      <w:contextualSpacing/>
    </w:pPr>
  </w:style>
  <w:style w:type="character" w:styleId="CommentReference">
    <w:name w:val="annotation reference"/>
    <w:basedOn w:val="DefaultParagraphFont"/>
    <w:rsid w:val="00C16ABA"/>
    <w:rPr>
      <w:sz w:val="18"/>
      <w:szCs w:val="18"/>
    </w:rPr>
  </w:style>
  <w:style w:type="paragraph" w:styleId="CommentText">
    <w:name w:val="annotation text"/>
    <w:basedOn w:val="Normal"/>
    <w:link w:val="CommentTextChar"/>
    <w:rsid w:val="00C16ABA"/>
  </w:style>
  <w:style w:type="character" w:customStyle="1" w:styleId="CommentTextChar">
    <w:name w:val="Comment Text Char"/>
    <w:basedOn w:val="DefaultParagraphFont"/>
    <w:link w:val="CommentText"/>
    <w:rsid w:val="00C16ABA"/>
  </w:style>
  <w:style w:type="paragraph" w:styleId="CommentSubject">
    <w:name w:val="annotation subject"/>
    <w:basedOn w:val="CommentText"/>
    <w:next w:val="CommentText"/>
    <w:link w:val="CommentSubjectChar"/>
    <w:rsid w:val="00C16ABA"/>
    <w:rPr>
      <w:b/>
      <w:bCs/>
      <w:sz w:val="20"/>
      <w:szCs w:val="20"/>
    </w:rPr>
  </w:style>
  <w:style w:type="character" w:customStyle="1" w:styleId="CommentSubjectChar">
    <w:name w:val="Comment Subject Char"/>
    <w:basedOn w:val="CommentTextChar"/>
    <w:link w:val="CommentSubject"/>
    <w:rsid w:val="00C16ABA"/>
    <w:rPr>
      <w:b/>
      <w:bCs/>
      <w:sz w:val="20"/>
      <w:szCs w:val="20"/>
    </w:rPr>
  </w:style>
  <w:style w:type="character" w:styleId="Emphasis">
    <w:name w:val="Emphasis"/>
    <w:basedOn w:val="DefaultParagraphFont"/>
    <w:uiPriority w:val="20"/>
    <w:rsid w:val="00E81B44"/>
    <w:rPr>
      <w:i/>
    </w:rPr>
  </w:style>
  <w:style w:type="paragraph" w:styleId="EndnoteText">
    <w:name w:val="endnote text"/>
    <w:basedOn w:val="Normal"/>
    <w:link w:val="EndnoteTextChar"/>
    <w:rsid w:val="00104316"/>
  </w:style>
  <w:style w:type="character" w:customStyle="1" w:styleId="EndnoteTextChar">
    <w:name w:val="Endnote Text Char"/>
    <w:basedOn w:val="DefaultParagraphFont"/>
    <w:link w:val="EndnoteText"/>
    <w:rsid w:val="00104316"/>
  </w:style>
  <w:style w:type="character" w:styleId="EndnoteReference">
    <w:name w:val="endnote reference"/>
    <w:basedOn w:val="DefaultParagraphFont"/>
    <w:rsid w:val="00104316"/>
    <w:rPr>
      <w:vertAlign w:val="superscript"/>
    </w:rPr>
  </w:style>
  <w:style w:type="character" w:customStyle="1" w:styleId="notranslate">
    <w:name w:val="notranslate"/>
    <w:basedOn w:val="DefaultParagraphFont"/>
    <w:rsid w:val="008050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16ABA"/>
    <w:rPr>
      <w:rFonts w:ascii="Lucida Grande" w:hAnsi="Lucida Grande"/>
      <w:sz w:val="18"/>
      <w:szCs w:val="18"/>
    </w:rPr>
  </w:style>
  <w:style w:type="character" w:customStyle="1" w:styleId="BalloonTextChar">
    <w:name w:val="Balloon Text Char"/>
    <w:basedOn w:val="DefaultParagraphFont"/>
    <w:uiPriority w:val="99"/>
    <w:semiHidden/>
    <w:rsid w:val="00D12AE1"/>
    <w:rPr>
      <w:rFonts w:ascii="Lucida Grande" w:hAnsi="Lucida Grande"/>
      <w:sz w:val="18"/>
      <w:szCs w:val="18"/>
    </w:rPr>
  </w:style>
  <w:style w:type="character" w:customStyle="1" w:styleId="BalloonTextChar1">
    <w:name w:val="Balloon Text Char1"/>
    <w:basedOn w:val="DefaultParagraphFont"/>
    <w:link w:val="BalloonText"/>
    <w:rsid w:val="00C16ABA"/>
    <w:rPr>
      <w:rFonts w:ascii="Lucida Grande" w:hAnsi="Lucida Grande"/>
      <w:sz w:val="18"/>
      <w:szCs w:val="18"/>
    </w:rPr>
  </w:style>
  <w:style w:type="character" w:customStyle="1" w:styleId="BalloonTextChar0">
    <w:name w:val="Balloon Text Char"/>
    <w:basedOn w:val="DefaultParagraphFont"/>
    <w:uiPriority w:val="99"/>
    <w:semiHidden/>
    <w:rsid w:val="00170D3A"/>
    <w:rPr>
      <w:rFonts w:ascii="Lucida Grande" w:hAnsi="Lucida Grande"/>
      <w:sz w:val="18"/>
      <w:szCs w:val="18"/>
    </w:rPr>
  </w:style>
  <w:style w:type="table" w:styleId="TableGrid">
    <w:name w:val="Table Grid"/>
    <w:basedOn w:val="TableNormal"/>
    <w:rsid w:val="007805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11572"/>
    <w:pPr>
      <w:tabs>
        <w:tab w:val="center" w:pos="4320"/>
        <w:tab w:val="right" w:pos="8640"/>
      </w:tabs>
    </w:pPr>
  </w:style>
  <w:style w:type="character" w:customStyle="1" w:styleId="FooterChar">
    <w:name w:val="Footer Char"/>
    <w:basedOn w:val="DefaultParagraphFont"/>
    <w:link w:val="Footer"/>
    <w:rsid w:val="00211572"/>
  </w:style>
  <w:style w:type="character" w:styleId="PageNumber">
    <w:name w:val="page number"/>
    <w:basedOn w:val="DefaultParagraphFont"/>
    <w:rsid w:val="00211572"/>
  </w:style>
  <w:style w:type="character" w:styleId="Hyperlink">
    <w:name w:val="Hyperlink"/>
    <w:basedOn w:val="DefaultParagraphFont"/>
    <w:uiPriority w:val="99"/>
    <w:rsid w:val="00A01348"/>
    <w:rPr>
      <w:color w:val="0000FF"/>
      <w:u w:val="single"/>
    </w:rPr>
  </w:style>
  <w:style w:type="paragraph" w:styleId="Bibliography">
    <w:name w:val="Bibliography"/>
    <w:basedOn w:val="Normal"/>
    <w:next w:val="Normal"/>
    <w:uiPriority w:val="37"/>
    <w:unhideWhenUsed/>
    <w:rsid w:val="00A01348"/>
  </w:style>
  <w:style w:type="paragraph" w:styleId="ListParagraph">
    <w:name w:val="List Paragraph"/>
    <w:basedOn w:val="Normal"/>
    <w:rsid w:val="00007CD5"/>
    <w:pPr>
      <w:ind w:left="720"/>
      <w:contextualSpacing/>
    </w:pPr>
  </w:style>
  <w:style w:type="character" w:styleId="CommentReference">
    <w:name w:val="annotation reference"/>
    <w:basedOn w:val="DefaultParagraphFont"/>
    <w:rsid w:val="00C16ABA"/>
    <w:rPr>
      <w:sz w:val="18"/>
      <w:szCs w:val="18"/>
    </w:rPr>
  </w:style>
  <w:style w:type="paragraph" w:styleId="CommentText">
    <w:name w:val="annotation text"/>
    <w:basedOn w:val="Normal"/>
    <w:link w:val="CommentTextChar"/>
    <w:rsid w:val="00C16ABA"/>
  </w:style>
  <w:style w:type="character" w:customStyle="1" w:styleId="CommentTextChar">
    <w:name w:val="Comment Text Char"/>
    <w:basedOn w:val="DefaultParagraphFont"/>
    <w:link w:val="CommentText"/>
    <w:rsid w:val="00C16ABA"/>
  </w:style>
  <w:style w:type="paragraph" w:styleId="CommentSubject">
    <w:name w:val="annotation subject"/>
    <w:basedOn w:val="CommentText"/>
    <w:next w:val="CommentText"/>
    <w:link w:val="CommentSubjectChar"/>
    <w:rsid w:val="00C16ABA"/>
    <w:rPr>
      <w:b/>
      <w:bCs/>
      <w:sz w:val="20"/>
      <w:szCs w:val="20"/>
    </w:rPr>
  </w:style>
  <w:style w:type="character" w:customStyle="1" w:styleId="CommentSubjectChar">
    <w:name w:val="Comment Subject Char"/>
    <w:basedOn w:val="CommentTextChar"/>
    <w:link w:val="CommentSubject"/>
    <w:rsid w:val="00C16ABA"/>
    <w:rPr>
      <w:b/>
      <w:bCs/>
      <w:sz w:val="20"/>
      <w:szCs w:val="20"/>
    </w:rPr>
  </w:style>
  <w:style w:type="character" w:styleId="Emphasis">
    <w:name w:val="Emphasis"/>
    <w:basedOn w:val="DefaultParagraphFont"/>
    <w:uiPriority w:val="20"/>
    <w:rsid w:val="00E81B44"/>
    <w:rPr>
      <w:i/>
    </w:rPr>
  </w:style>
  <w:style w:type="paragraph" w:styleId="EndnoteText">
    <w:name w:val="endnote text"/>
    <w:basedOn w:val="Normal"/>
    <w:link w:val="EndnoteTextChar"/>
    <w:rsid w:val="00104316"/>
  </w:style>
  <w:style w:type="character" w:customStyle="1" w:styleId="EndnoteTextChar">
    <w:name w:val="Endnote Text Char"/>
    <w:basedOn w:val="DefaultParagraphFont"/>
    <w:link w:val="EndnoteText"/>
    <w:rsid w:val="00104316"/>
  </w:style>
  <w:style w:type="character" w:styleId="EndnoteReference">
    <w:name w:val="endnote reference"/>
    <w:basedOn w:val="DefaultParagraphFont"/>
    <w:rsid w:val="00104316"/>
    <w:rPr>
      <w:vertAlign w:val="superscript"/>
    </w:rPr>
  </w:style>
  <w:style w:type="character" w:customStyle="1" w:styleId="notranslate">
    <w:name w:val="notranslate"/>
    <w:basedOn w:val="DefaultParagraphFont"/>
    <w:rsid w:val="0080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446">
      <w:bodyDiv w:val="1"/>
      <w:marLeft w:val="0"/>
      <w:marRight w:val="0"/>
      <w:marTop w:val="0"/>
      <w:marBottom w:val="0"/>
      <w:divBdr>
        <w:top w:val="none" w:sz="0" w:space="0" w:color="auto"/>
        <w:left w:val="none" w:sz="0" w:space="0" w:color="auto"/>
        <w:bottom w:val="none" w:sz="0" w:space="0" w:color="auto"/>
        <w:right w:val="none" w:sz="0" w:space="0" w:color="auto"/>
      </w:divBdr>
    </w:div>
    <w:div w:id="108936462">
      <w:bodyDiv w:val="1"/>
      <w:marLeft w:val="0"/>
      <w:marRight w:val="0"/>
      <w:marTop w:val="0"/>
      <w:marBottom w:val="0"/>
      <w:divBdr>
        <w:top w:val="none" w:sz="0" w:space="0" w:color="auto"/>
        <w:left w:val="none" w:sz="0" w:space="0" w:color="auto"/>
        <w:bottom w:val="none" w:sz="0" w:space="0" w:color="auto"/>
        <w:right w:val="none" w:sz="0" w:space="0" w:color="auto"/>
      </w:divBdr>
    </w:div>
    <w:div w:id="133715130">
      <w:bodyDiv w:val="1"/>
      <w:marLeft w:val="0"/>
      <w:marRight w:val="0"/>
      <w:marTop w:val="0"/>
      <w:marBottom w:val="0"/>
      <w:divBdr>
        <w:top w:val="none" w:sz="0" w:space="0" w:color="auto"/>
        <w:left w:val="none" w:sz="0" w:space="0" w:color="auto"/>
        <w:bottom w:val="none" w:sz="0" w:space="0" w:color="auto"/>
        <w:right w:val="none" w:sz="0" w:space="0" w:color="auto"/>
      </w:divBdr>
    </w:div>
    <w:div w:id="191041895">
      <w:bodyDiv w:val="1"/>
      <w:marLeft w:val="0"/>
      <w:marRight w:val="0"/>
      <w:marTop w:val="0"/>
      <w:marBottom w:val="0"/>
      <w:divBdr>
        <w:top w:val="none" w:sz="0" w:space="0" w:color="auto"/>
        <w:left w:val="none" w:sz="0" w:space="0" w:color="auto"/>
        <w:bottom w:val="none" w:sz="0" w:space="0" w:color="auto"/>
        <w:right w:val="none" w:sz="0" w:space="0" w:color="auto"/>
      </w:divBdr>
    </w:div>
    <w:div w:id="215045880">
      <w:bodyDiv w:val="1"/>
      <w:marLeft w:val="0"/>
      <w:marRight w:val="0"/>
      <w:marTop w:val="0"/>
      <w:marBottom w:val="0"/>
      <w:divBdr>
        <w:top w:val="none" w:sz="0" w:space="0" w:color="auto"/>
        <w:left w:val="none" w:sz="0" w:space="0" w:color="auto"/>
        <w:bottom w:val="none" w:sz="0" w:space="0" w:color="auto"/>
        <w:right w:val="none" w:sz="0" w:space="0" w:color="auto"/>
      </w:divBdr>
    </w:div>
    <w:div w:id="278680344">
      <w:bodyDiv w:val="1"/>
      <w:marLeft w:val="0"/>
      <w:marRight w:val="0"/>
      <w:marTop w:val="0"/>
      <w:marBottom w:val="0"/>
      <w:divBdr>
        <w:top w:val="none" w:sz="0" w:space="0" w:color="auto"/>
        <w:left w:val="none" w:sz="0" w:space="0" w:color="auto"/>
        <w:bottom w:val="none" w:sz="0" w:space="0" w:color="auto"/>
        <w:right w:val="none" w:sz="0" w:space="0" w:color="auto"/>
      </w:divBdr>
    </w:div>
    <w:div w:id="582029085">
      <w:bodyDiv w:val="1"/>
      <w:marLeft w:val="0"/>
      <w:marRight w:val="0"/>
      <w:marTop w:val="0"/>
      <w:marBottom w:val="0"/>
      <w:divBdr>
        <w:top w:val="none" w:sz="0" w:space="0" w:color="auto"/>
        <w:left w:val="none" w:sz="0" w:space="0" w:color="auto"/>
        <w:bottom w:val="none" w:sz="0" w:space="0" w:color="auto"/>
        <w:right w:val="none" w:sz="0" w:space="0" w:color="auto"/>
      </w:divBdr>
    </w:div>
    <w:div w:id="621036948">
      <w:bodyDiv w:val="1"/>
      <w:marLeft w:val="0"/>
      <w:marRight w:val="0"/>
      <w:marTop w:val="0"/>
      <w:marBottom w:val="0"/>
      <w:divBdr>
        <w:top w:val="none" w:sz="0" w:space="0" w:color="auto"/>
        <w:left w:val="none" w:sz="0" w:space="0" w:color="auto"/>
        <w:bottom w:val="none" w:sz="0" w:space="0" w:color="auto"/>
        <w:right w:val="none" w:sz="0" w:space="0" w:color="auto"/>
      </w:divBdr>
    </w:div>
    <w:div w:id="750591086">
      <w:bodyDiv w:val="1"/>
      <w:marLeft w:val="0"/>
      <w:marRight w:val="0"/>
      <w:marTop w:val="0"/>
      <w:marBottom w:val="0"/>
      <w:divBdr>
        <w:top w:val="none" w:sz="0" w:space="0" w:color="auto"/>
        <w:left w:val="none" w:sz="0" w:space="0" w:color="auto"/>
        <w:bottom w:val="none" w:sz="0" w:space="0" w:color="auto"/>
        <w:right w:val="none" w:sz="0" w:space="0" w:color="auto"/>
      </w:divBdr>
    </w:div>
    <w:div w:id="876354754">
      <w:bodyDiv w:val="1"/>
      <w:marLeft w:val="0"/>
      <w:marRight w:val="0"/>
      <w:marTop w:val="0"/>
      <w:marBottom w:val="0"/>
      <w:divBdr>
        <w:top w:val="none" w:sz="0" w:space="0" w:color="auto"/>
        <w:left w:val="none" w:sz="0" w:space="0" w:color="auto"/>
        <w:bottom w:val="none" w:sz="0" w:space="0" w:color="auto"/>
        <w:right w:val="none" w:sz="0" w:space="0" w:color="auto"/>
      </w:divBdr>
    </w:div>
    <w:div w:id="898515943">
      <w:bodyDiv w:val="1"/>
      <w:marLeft w:val="0"/>
      <w:marRight w:val="0"/>
      <w:marTop w:val="0"/>
      <w:marBottom w:val="0"/>
      <w:divBdr>
        <w:top w:val="none" w:sz="0" w:space="0" w:color="auto"/>
        <w:left w:val="none" w:sz="0" w:space="0" w:color="auto"/>
        <w:bottom w:val="none" w:sz="0" w:space="0" w:color="auto"/>
        <w:right w:val="none" w:sz="0" w:space="0" w:color="auto"/>
      </w:divBdr>
    </w:div>
    <w:div w:id="967970405">
      <w:bodyDiv w:val="1"/>
      <w:marLeft w:val="0"/>
      <w:marRight w:val="0"/>
      <w:marTop w:val="0"/>
      <w:marBottom w:val="0"/>
      <w:divBdr>
        <w:top w:val="none" w:sz="0" w:space="0" w:color="auto"/>
        <w:left w:val="none" w:sz="0" w:space="0" w:color="auto"/>
        <w:bottom w:val="none" w:sz="0" w:space="0" w:color="auto"/>
        <w:right w:val="none" w:sz="0" w:space="0" w:color="auto"/>
      </w:divBdr>
    </w:div>
    <w:div w:id="999039929">
      <w:bodyDiv w:val="1"/>
      <w:marLeft w:val="0"/>
      <w:marRight w:val="0"/>
      <w:marTop w:val="0"/>
      <w:marBottom w:val="0"/>
      <w:divBdr>
        <w:top w:val="none" w:sz="0" w:space="0" w:color="auto"/>
        <w:left w:val="none" w:sz="0" w:space="0" w:color="auto"/>
        <w:bottom w:val="none" w:sz="0" w:space="0" w:color="auto"/>
        <w:right w:val="none" w:sz="0" w:space="0" w:color="auto"/>
      </w:divBdr>
    </w:div>
    <w:div w:id="1095710495">
      <w:bodyDiv w:val="1"/>
      <w:marLeft w:val="0"/>
      <w:marRight w:val="0"/>
      <w:marTop w:val="0"/>
      <w:marBottom w:val="0"/>
      <w:divBdr>
        <w:top w:val="none" w:sz="0" w:space="0" w:color="auto"/>
        <w:left w:val="none" w:sz="0" w:space="0" w:color="auto"/>
        <w:bottom w:val="none" w:sz="0" w:space="0" w:color="auto"/>
        <w:right w:val="none" w:sz="0" w:space="0" w:color="auto"/>
      </w:divBdr>
    </w:div>
    <w:div w:id="1137645264">
      <w:bodyDiv w:val="1"/>
      <w:marLeft w:val="0"/>
      <w:marRight w:val="0"/>
      <w:marTop w:val="0"/>
      <w:marBottom w:val="0"/>
      <w:divBdr>
        <w:top w:val="none" w:sz="0" w:space="0" w:color="auto"/>
        <w:left w:val="none" w:sz="0" w:space="0" w:color="auto"/>
        <w:bottom w:val="none" w:sz="0" w:space="0" w:color="auto"/>
        <w:right w:val="none" w:sz="0" w:space="0" w:color="auto"/>
      </w:divBdr>
    </w:div>
    <w:div w:id="1234504864">
      <w:bodyDiv w:val="1"/>
      <w:marLeft w:val="0"/>
      <w:marRight w:val="0"/>
      <w:marTop w:val="0"/>
      <w:marBottom w:val="0"/>
      <w:divBdr>
        <w:top w:val="none" w:sz="0" w:space="0" w:color="auto"/>
        <w:left w:val="none" w:sz="0" w:space="0" w:color="auto"/>
        <w:bottom w:val="none" w:sz="0" w:space="0" w:color="auto"/>
        <w:right w:val="none" w:sz="0" w:space="0" w:color="auto"/>
      </w:divBdr>
      <w:divsChild>
        <w:div w:id="749740069">
          <w:marLeft w:val="0"/>
          <w:marRight w:val="0"/>
          <w:marTop w:val="0"/>
          <w:marBottom w:val="0"/>
          <w:divBdr>
            <w:top w:val="none" w:sz="0" w:space="0" w:color="auto"/>
            <w:left w:val="none" w:sz="0" w:space="0" w:color="auto"/>
            <w:bottom w:val="none" w:sz="0" w:space="0" w:color="auto"/>
            <w:right w:val="none" w:sz="0" w:space="0" w:color="auto"/>
          </w:divBdr>
          <w:divsChild>
            <w:div w:id="2077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0795">
      <w:bodyDiv w:val="1"/>
      <w:marLeft w:val="0"/>
      <w:marRight w:val="0"/>
      <w:marTop w:val="0"/>
      <w:marBottom w:val="0"/>
      <w:divBdr>
        <w:top w:val="none" w:sz="0" w:space="0" w:color="auto"/>
        <w:left w:val="none" w:sz="0" w:space="0" w:color="auto"/>
        <w:bottom w:val="none" w:sz="0" w:space="0" w:color="auto"/>
        <w:right w:val="none" w:sz="0" w:space="0" w:color="auto"/>
      </w:divBdr>
      <w:divsChild>
        <w:div w:id="979581147">
          <w:marLeft w:val="0"/>
          <w:marRight w:val="0"/>
          <w:marTop w:val="0"/>
          <w:marBottom w:val="0"/>
          <w:divBdr>
            <w:top w:val="none" w:sz="0" w:space="0" w:color="auto"/>
            <w:left w:val="none" w:sz="0" w:space="0" w:color="auto"/>
            <w:bottom w:val="none" w:sz="0" w:space="0" w:color="auto"/>
            <w:right w:val="none" w:sz="0" w:space="0" w:color="auto"/>
          </w:divBdr>
          <w:divsChild>
            <w:div w:id="14828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586">
      <w:bodyDiv w:val="1"/>
      <w:marLeft w:val="0"/>
      <w:marRight w:val="0"/>
      <w:marTop w:val="0"/>
      <w:marBottom w:val="0"/>
      <w:divBdr>
        <w:top w:val="none" w:sz="0" w:space="0" w:color="auto"/>
        <w:left w:val="none" w:sz="0" w:space="0" w:color="auto"/>
        <w:bottom w:val="none" w:sz="0" w:space="0" w:color="auto"/>
        <w:right w:val="none" w:sz="0" w:space="0" w:color="auto"/>
      </w:divBdr>
      <w:divsChild>
        <w:div w:id="1338845590">
          <w:marLeft w:val="0"/>
          <w:marRight w:val="0"/>
          <w:marTop w:val="0"/>
          <w:marBottom w:val="0"/>
          <w:divBdr>
            <w:top w:val="none" w:sz="0" w:space="0" w:color="auto"/>
            <w:left w:val="none" w:sz="0" w:space="0" w:color="auto"/>
            <w:bottom w:val="none" w:sz="0" w:space="0" w:color="auto"/>
            <w:right w:val="none" w:sz="0" w:space="0" w:color="auto"/>
          </w:divBdr>
          <w:divsChild>
            <w:div w:id="20881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9301">
      <w:bodyDiv w:val="1"/>
      <w:marLeft w:val="0"/>
      <w:marRight w:val="0"/>
      <w:marTop w:val="0"/>
      <w:marBottom w:val="0"/>
      <w:divBdr>
        <w:top w:val="none" w:sz="0" w:space="0" w:color="auto"/>
        <w:left w:val="none" w:sz="0" w:space="0" w:color="auto"/>
        <w:bottom w:val="none" w:sz="0" w:space="0" w:color="auto"/>
        <w:right w:val="none" w:sz="0" w:space="0" w:color="auto"/>
      </w:divBdr>
      <w:divsChild>
        <w:div w:id="110704930">
          <w:marLeft w:val="0"/>
          <w:marRight w:val="0"/>
          <w:marTop w:val="0"/>
          <w:marBottom w:val="0"/>
          <w:divBdr>
            <w:top w:val="none" w:sz="0" w:space="0" w:color="auto"/>
            <w:left w:val="none" w:sz="0" w:space="0" w:color="auto"/>
            <w:bottom w:val="none" w:sz="0" w:space="0" w:color="auto"/>
            <w:right w:val="none" w:sz="0" w:space="0" w:color="auto"/>
          </w:divBdr>
          <w:divsChild>
            <w:div w:id="7271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106">
      <w:bodyDiv w:val="1"/>
      <w:marLeft w:val="0"/>
      <w:marRight w:val="0"/>
      <w:marTop w:val="0"/>
      <w:marBottom w:val="0"/>
      <w:divBdr>
        <w:top w:val="none" w:sz="0" w:space="0" w:color="auto"/>
        <w:left w:val="none" w:sz="0" w:space="0" w:color="auto"/>
        <w:bottom w:val="none" w:sz="0" w:space="0" w:color="auto"/>
        <w:right w:val="none" w:sz="0" w:space="0" w:color="auto"/>
      </w:divBdr>
      <w:divsChild>
        <w:div w:id="1233462541">
          <w:marLeft w:val="0"/>
          <w:marRight w:val="0"/>
          <w:marTop w:val="0"/>
          <w:marBottom w:val="0"/>
          <w:divBdr>
            <w:top w:val="none" w:sz="0" w:space="0" w:color="auto"/>
            <w:left w:val="none" w:sz="0" w:space="0" w:color="auto"/>
            <w:bottom w:val="none" w:sz="0" w:space="0" w:color="auto"/>
            <w:right w:val="none" w:sz="0" w:space="0" w:color="auto"/>
          </w:divBdr>
          <w:divsChild>
            <w:div w:id="18890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7882">
      <w:bodyDiv w:val="1"/>
      <w:marLeft w:val="0"/>
      <w:marRight w:val="0"/>
      <w:marTop w:val="0"/>
      <w:marBottom w:val="0"/>
      <w:divBdr>
        <w:top w:val="none" w:sz="0" w:space="0" w:color="auto"/>
        <w:left w:val="none" w:sz="0" w:space="0" w:color="auto"/>
        <w:bottom w:val="none" w:sz="0" w:space="0" w:color="auto"/>
        <w:right w:val="none" w:sz="0" w:space="0" w:color="auto"/>
      </w:divBdr>
      <w:divsChild>
        <w:div w:id="335883363">
          <w:marLeft w:val="0"/>
          <w:marRight w:val="0"/>
          <w:marTop w:val="0"/>
          <w:marBottom w:val="0"/>
          <w:divBdr>
            <w:top w:val="none" w:sz="0" w:space="0" w:color="auto"/>
            <w:left w:val="none" w:sz="0" w:space="0" w:color="auto"/>
            <w:bottom w:val="none" w:sz="0" w:space="0" w:color="auto"/>
            <w:right w:val="none" w:sz="0" w:space="0" w:color="auto"/>
          </w:divBdr>
          <w:divsChild>
            <w:div w:id="1223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7128">
      <w:bodyDiv w:val="1"/>
      <w:marLeft w:val="0"/>
      <w:marRight w:val="0"/>
      <w:marTop w:val="0"/>
      <w:marBottom w:val="0"/>
      <w:divBdr>
        <w:top w:val="none" w:sz="0" w:space="0" w:color="auto"/>
        <w:left w:val="none" w:sz="0" w:space="0" w:color="auto"/>
        <w:bottom w:val="none" w:sz="0" w:space="0" w:color="auto"/>
        <w:right w:val="none" w:sz="0" w:space="0" w:color="auto"/>
      </w:divBdr>
      <w:divsChild>
        <w:div w:id="1775898014">
          <w:marLeft w:val="0"/>
          <w:marRight w:val="0"/>
          <w:marTop w:val="0"/>
          <w:marBottom w:val="0"/>
          <w:divBdr>
            <w:top w:val="none" w:sz="0" w:space="0" w:color="auto"/>
            <w:left w:val="none" w:sz="0" w:space="0" w:color="auto"/>
            <w:bottom w:val="none" w:sz="0" w:space="0" w:color="auto"/>
            <w:right w:val="none" w:sz="0" w:space="0" w:color="auto"/>
          </w:divBdr>
          <w:divsChild>
            <w:div w:id="11100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1277">
      <w:bodyDiv w:val="1"/>
      <w:marLeft w:val="0"/>
      <w:marRight w:val="0"/>
      <w:marTop w:val="0"/>
      <w:marBottom w:val="0"/>
      <w:divBdr>
        <w:top w:val="none" w:sz="0" w:space="0" w:color="auto"/>
        <w:left w:val="none" w:sz="0" w:space="0" w:color="auto"/>
        <w:bottom w:val="none" w:sz="0" w:space="0" w:color="auto"/>
        <w:right w:val="none" w:sz="0" w:space="0" w:color="auto"/>
      </w:divBdr>
    </w:div>
    <w:div w:id="2093432492">
      <w:bodyDiv w:val="1"/>
      <w:marLeft w:val="0"/>
      <w:marRight w:val="0"/>
      <w:marTop w:val="0"/>
      <w:marBottom w:val="0"/>
      <w:divBdr>
        <w:top w:val="none" w:sz="0" w:space="0" w:color="auto"/>
        <w:left w:val="none" w:sz="0" w:space="0" w:color="auto"/>
        <w:bottom w:val="none" w:sz="0" w:space="0" w:color="auto"/>
        <w:right w:val="none" w:sz="0" w:space="0" w:color="auto"/>
      </w:divBdr>
      <w:divsChild>
        <w:div w:id="1588804195">
          <w:marLeft w:val="0"/>
          <w:marRight w:val="0"/>
          <w:marTop w:val="0"/>
          <w:marBottom w:val="0"/>
          <w:divBdr>
            <w:top w:val="none" w:sz="0" w:space="0" w:color="auto"/>
            <w:left w:val="none" w:sz="0" w:space="0" w:color="auto"/>
            <w:bottom w:val="none" w:sz="0" w:space="0" w:color="auto"/>
            <w:right w:val="none" w:sz="0" w:space="0" w:color="auto"/>
          </w:divBdr>
          <w:divsChild>
            <w:div w:id="393551222">
              <w:marLeft w:val="0"/>
              <w:marRight w:val="0"/>
              <w:marTop w:val="0"/>
              <w:marBottom w:val="0"/>
              <w:divBdr>
                <w:top w:val="none" w:sz="0" w:space="0" w:color="auto"/>
                <w:left w:val="none" w:sz="0" w:space="0" w:color="auto"/>
                <w:bottom w:val="none" w:sz="0" w:space="0" w:color="auto"/>
                <w:right w:val="none" w:sz="0" w:space="0" w:color="auto"/>
              </w:divBdr>
            </w:div>
            <w:div w:id="9831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migone@sfu.ca" TargetMode="External"/><Relationship Id="rId20" Type="http://schemas.openxmlformats.org/officeDocument/2006/relationships/chart" Target="charts/chart10.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image" Target="media/image1.png"/><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chart" Target="charts/chart8.xml"/><Relationship Id="rId19" Type="http://schemas.openxmlformats.org/officeDocument/2006/relationships/chart" Target="charts/chart9.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wlett@sfu.c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migone:Downloads:ManagersSurveySummary_Jan%202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amigone:Desktop:ManagersSurveySummary_01182013%202%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migone:Downloads:ManagersSurveySummary_Jan%202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migone:Downloads:ManagersSurveySummary_Jan%202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migone:Dropbox:TRC%20-%20Missing%20Children:Andrea's%20working%20folder:Chart%20Crosstabulation%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amigone:Downloads:ManagersSurveySummary_Jan%202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amigone:Desktop:ManagersSurveySummary_01182013%202%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migone:Downloads:ManagersSurveySummary_Jan%202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amigone:Desktop:ManagersSurveySummary_01182013%202%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thelaptop:Desktop:Consultants%200491%20Current:ManagersSurvey:ManagersSurveySummary_Jan%202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How long have you worked in your present position?</a:t>
            </a:r>
          </a:p>
        </c:rich>
      </c:tx>
      <c:layout>
        <c:manualLayout>
          <c:xMode val="edge"/>
          <c:yMode val="edge"/>
          <c:x val="0.26262648772677"/>
          <c:y val="0.0375"/>
        </c:manualLayout>
      </c:layout>
      <c:overlay val="0"/>
      <c:spPr>
        <a:noFill/>
        <a:ln w="25400">
          <a:noFill/>
        </a:ln>
      </c:spPr>
    </c:title>
    <c:autoTitleDeleted val="0"/>
    <c:plotArea>
      <c:layout>
        <c:manualLayout>
          <c:layoutTarget val="inner"/>
          <c:xMode val="edge"/>
          <c:yMode val="edge"/>
          <c:x val="0.256565783107335"/>
          <c:y val="0.204166251289365"/>
          <c:w val="0.339394106787655"/>
          <c:h val="0.699998575849252"/>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howLegendKey val="0"/>
            <c:showVal val="1"/>
            <c:showCatName val="0"/>
            <c:showSerName val="0"/>
            <c:showPercent val="0"/>
            <c:showBubbleSize val="0"/>
            <c:showLeaderLines val="1"/>
          </c:dLbls>
          <c:cat>
            <c:strRef>
              <c:f>'Question 2'!$A$4:$A$8</c:f>
              <c:strCache>
                <c:ptCount val="5"/>
                <c:pt idx="0">
                  <c:v>&lt; one year</c:v>
                </c:pt>
                <c:pt idx="1">
                  <c:v>1-5 years</c:v>
                </c:pt>
                <c:pt idx="2">
                  <c:v>6-10 years</c:v>
                </c:pt>
                <c:pt idx="3">
                  <c:v>11-20 years</c:v>
                </c:pt>
                <c:pt idx="4">
                  <c:v>&gt;20 years</c:v>
                </c:pt>
              </c:strCache>
            </c:strRef>
          </c:cat>
          <c:val>
            <c:numRef>
              <c:f>'Question 2'!$C$4:$C$8</c:f>
              <c:numCache>
                <c:formatCode>0.0%</c:formatCode>
                <c:ptCount val="5"/>
                <c:pt idx="0">
                  <c:v>0.106</c:v>
                </c:pt>
                <c:pt idx="1">
                  <c:v>0.544</c:v>
                </c:pt>
                <c:pt idx="2">
                  <c:v>0.206</c:v>
                </c:pt>
                <c:pt idx="3">
                  <c:v>0.106</c:v>
                </c:pt>
                <c:pt idx="4">
                  <c:v>0.038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zero"/>
    <c:showDLblsOverMax val="0"/>
  </c:chart>
  <c:spPr>
    <a:no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'Question 34'!$C$3:$G$3</c:f>
              <c:strCache>
                <c:ptCount val="5"/>
                <c:pt idx="0">
                  <c:v>Always</c:v>
                </c:pt>
                <c:pt idx="1">
                  <c:v>Frequently</c:v>
                </c:pt>
                <c:pt idx="2">
                  <c:v>Sometimes</c:v>
                </c:pt>
                <c:pt idx="3">
                  <c:v>Rarely</c:v>
                </c:pt>
                <c:pt idx="4">
                  <c:v>Never</c:v>
                </c:pt>
              </c:strCache>
            </c:strRef>
          </c:cat>
          <c:val>
            <c:numRef>
              <c:f>'Question 34'!$C$4:$G$4</c:f>
              <c:numCache>
                <c:formatCode>General</c:formatCode>
                <c:ptCount val="5"/>
                <c:pt idx="0">
                  <c:v>4.0</c:v>
                </c:pt>
                <c:pt idx="1">
                  <c:v>10.0</c:v>
                </c:pt>
                <c:pt idx="2">
                  <c:v>20.0</c:v>
                </c:pt>
                <c:pt idx="3">
                  <c:v>30.0</c:v>
                </c:pt>
                <c:pt idx="4">
                  <c:v>14.0</c:v>
                </c:pt>
              </c:numCache>
            </c:numRef>
          </c:val>
        </c:ser>
        <c:dLbls>
          <c:showLegendKey val="0"/>
          <c:showVal val="0"/>
          <c:showCatName val="0"/>
          <c:showSerName val="0"/>
          <c:showPercent val="0"/>
          <c:showBubbleSize val="0"/>
        </c:dLbls>
        <c:gapWidth val="150"/>
        <c:shape val="box"/>
        <c:axId val="2077337032"/>
        <c:axId val="2078244504"/>
        <c:axId val="0"/>
      </c:bar3DChart>
      <c:catAx>
        <c:axId val="2077337032"/>
        <c:scaling>
          <c:orientation val="minMax"/>
        </c:scaling>
        <c:delete val="0"/>
        <c:axPos val="b"/>
        <c:majorTickMark val="out"/>
        <c:minorTickMark val="none"/>
        <c:tickLblPos val="nextTo"/>
        <c:crossAx val="2078244504"/>
        <c:crosses val="autoZero"/>
        <c:auto val="1"/>
        <c:lblAlgn val="ctr"/>
        <c:lblOffset val="100"/>
        <c:noMultiLvlLbl val="0"/>
      </c:catAx>
      <c:valAx>
        <c:axId val="2078244504"/>
        <c:scaling>
          <c:orientation val="minMax"/>
        </c:scaling>
        <c:delete val="0"/>
        <c:axPos val="l"/>
        <c:majorGridlines/>
        <c:numFmt formatCode="General" sourceLinked="1"/>
        <c:majorTickMark val="out"/>
        <c:minorTickMark val="none"/>
        <c:tickLblPos val="nextTo"/>
        <c:crossAx val="20773370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What aspects of policy making does your Department contract to consultants? (Check all that apply)</a:t>
            </a:r>
          </a:p>
        </c:rich>
      </c:tx>
      <c:layout>
        <c:manualLayout>
          <c:xMode val="edge"/>
          <c:yMode val="edge"/>
          <c:x val="0.111111111111111"/>
          <c:y val="0.0375"/>
        </c:manualLayout>
      </c:layout>
      <c:overlay val="0"/>
      <c:spPr>
        <a:noFill/>
        <a:ln w="25400">
          <a:noFill/>
        </a:ln>
      </c:spPr>
    </c:title>
    <c:autoTitleDeleted val="0"/>
    <c:plotArea>
      <c:layout>
        <c:manualLayout>
          <c:layoutTarget val="inner"/>
          <c:xMode val="edge"/>
          <c:yMode val="edge"/>
          <c:x val="0.103030353846252"/>
          <c:y val="0.237499516805996"/>
          <c:w val="0.874747906184849"/>
          <c:h val="0.374999237062099"/>
        </c:manualLayout>
      </c:layout>
      <c:barChart>
        <c:barDir val="col"/>
        <c:grouping val="clustered"/>
        <c:varyColors val="0"/>
        <c:ser>
          <c:idx val="0"/>
          <c:order val="0"/>
          <c:spPr>
            <a:solidFill>
              <a:srgbClr val="9999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6'!$A$4:$A$8</c:f>
              <c:strCache>
                <c:ptCount val="5"/>
                <c:pt idx="0">
                  <c:v>Agenda-setting activities such as public or stakeholder issue consultation</c:v>
                </c:pt>
                <c:pt idx="1">
                  <c:v>Policy Formulation such as options appraisal or impact assessments</c:v>
                </c:pt>
                <c:pt idx="2">
                  <c:v>Decision-Making support such as preparation of background briefs and reports</c:v>
                </c:pt>
                <c:pt idx="3">
                  <c:v>Implementation activities such as programme reviews or communication functions</c:v>
                </c:pt>
                <c:pt idx="4">
                  <c:v>Policy Evaluations such as performance reviews</c:v>
                </c:pt>
              </c:strCache>
            </c:strRef>
          </c:cat>
          <c:val>
            <c:numRef>
              <c:f>'Question 6'!$C$4:$C$8</c:f>
              <c:numCache>
                <c:formatCode>0.0%</c:formatCode>
                <c:ptCount val="5"/>
                <c:pt idx="0">
                  <c:v>0.45</c:v>
                </c:pt>
                <c:pt idx="1">
                  <c:v>0.412</c:v>
                </c:pt>
                <c:pt idx="2">
                  <c:v>0.389</c:v>
                </c:pt>
                <c:pt idx="3">
                  <c:v>0.481</c:v>
                </c:pt>
                <c:pt idx="4">
                  <c:v>0.42</c:v>
                </c:pt>
              </c:numCache>
            </c:numRef>
          </c:val>
        </c:ser>
        <c:dLbls>
          <c:showLegendKey val="0"/>
          <c:showVal val="0"/>
          <c:showCatName val="0"/>
          <c:showSerName val="0"/>
          <c:showPercent val="0"/>
          <c:showBubbleSize val="0"/>
        </c:dLbls>
        <c:gapWidth val="150"/>
        <c:axId val="2064661416"/>
        <c:axId val="2077936712"/>
      </c:barChart>
      <c:catAx>
        <c:axId val="20646614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77936712"/>
        <c:crosses val="autoZero"/>
        <c:auto val="1"/>
        <c:lblAlgn val="ctr"/>
        <c:lblOffset val="100"/>
        <c:tickLblSkip val="1"/>
        <c:tickMarkSkip val="1"/>
        <c:noMultiLvlLbl val="0"/>
      </c:catAx>
      <c:valAx>
        <c:axId val="2077936712"/>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64661416"/>
        <c:crossesAt val="1.0"/>
        <c:crossBetween val="between"/>
      </c:valAx>
      <c:spPr>
        <a:solidFill>
          <a:srgbClr val="EEEEEE"/>
        </a:solidFill>
        <a:ln w="25400">
          <a:noFill/>
        </a:ln>
      </c:spPr>
    </c:plotArea>
    <c:plotVisOnly val="1"/>
    <c:dispBlanksAs val="gap"/>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What is your Department's annual budget for consultancies?</a:t>
            </a:r>
          </a:p>
        </c:rich>
      </c:tx>
      <c:layout>
        <c:manualLayout>
          <c:xMode val="edge"/>
          <c:yMode val="edge"/>
          <c:x val="0.22626273130953"/>
          <c:y val="0.0375"/>
        </c:manualLayout>
      </c:layout>
      <c:overlay val="0"/>
      <c:spPr>
        <a:noFill/>
        <a:ln w="25400">
          <a:noFill/>
        </a:ln>
      </c:spPr>
    </c:title>
    <c:autoTitleDeleted val="0"/>
    <c:plotArea>
      <c:layout>
        <c:manualLayout>
          <c:layoutTarget val="inner"/>
          <c:xMode val="edge"/>
          <c:yMode val="edge"/>
          <c:x val="0.218181925792064"/>
          <c:y val="0.204166251289365"/>
          <c:w val="0.339394106787655"/>
          <c:h val="0.699998575849252"/>
        </c:manualLayout>
      </c:layout>
      <c:pie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showLegendKey val="0"/>
            <c:showVal val="0"/>
            <c:showCatName val="0"/>
            <c:showSerName val="0"/>
            <c:showPercent val="0"/>
            <c:showBubbleSize val="0"/>
          </c:dLbls>
          <c:cat>
            <c:strRef>
              <c:f>'Question 9'!$A$4:$A$7</c:f>
              <c:strCache>
                <c:ptCount val="4"/>
                <c:pt idx="0">
                  <c:v>&lt;$100,000</c:v>
                </c:pt>
                <c:pt idx="1">
                  <c:v>$100,000 - $250,000</c:v>
                </c:pt>
                <c:pt idx="2">
                  <c:v>$250,000- $500,000</c:v>
                </c:pt>
                <c:pt idx="3">
                  <c:v>&gt; $500,000</c:v>
                </c:pt>
              </c:strCache>
            </c:strRef>
          </c:cat>
          <c:val>
            <c:numRef>
              <c:f>'Question 9'!$C$4:$C$7</c:f>
              <c:numCache>
                <c:formatCode>0.0%</c:formatCode>
                <c:ptCount val="4"/>
                <c:pt idx="0">
                  <c:v>0.371</c:v>
                </c:pt>
                <c:pt idx="1">
                  <c:v>0.169</c:v>
                </c:pt>
                <c:pt idx="2">
                  <c:v>0.101</c:v>
                </c:pt>
                <c:pt idx="3">
                  <c:v>0.36</c:v>
                </c:pt>
              </c:numCache>
            </c:numRef>
          </c:val>
        </c:ser>
        <c:dLbls>
          <c:showLegendKey val="0"/>
          <c:showVal val="0"/>
          <c:showCatName val="0"/>
          <c:showSerName val="0"/>
          <c:showPercent val="0"/>
          <c:showBubbleSize val="0"/>
          <c:showLeaderLines val="0"/>
        </c:dLbls>
        <c:firstSliceAng val="0"/>
      </c:pieChart>
      <c:spPr>
        <a:solidFill>
          <a:srgbClr val="EEEEEE"/>
        </a:solidFill>
        <a:ln w="25400">
          <a:noFill/>
        </a:ln>
      </c:spPr>
    </c:plotArea>
    <c:legend>
      <c:legendPos val="r"/>
      <c:layout>
        <c:manualLayout>
          <c:xMode val="edge"/>
          <c:yMode val="edge"/>
          <c:x val="0.700547535724701"/>
          <c:y val="0.445832349081365"/>
          <c:w val="0.285311679790026"/>
          <c:h val="0.29170217952520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What is your Department's annual budget for consultancies?</a:t>
            </a:r>
          </a:p>
        </c:rich>
      </c:tx>
      <c:layout>
        <c:manualLayout>
          <c:xMode val="edge"/>
          <c:yMode val="edge"/>
          <c:x val="0.226262737858437"/>
          <c:y val="0.0374999237062099"/>
        </c:manualLayout>
      </c:layout>
      <c:overlay val="0"/>
      <c:spPr>
        <a:noFill/>
        <a:ln w="25400">
          <a:noFill/>
        </a:ln>
      </c:spPr>
    </c:title>
    <c:autoTitleDeleted val="0"/>
    <c:plotArea>
      <c:layout>
        <c:manualLayout>
          <c:layoutTarget val="inner"/>
          <c:xMode val="edge"/>
          <c:yMode val="edge"/>
          <c:x val="0.0686869025641683"/>
          <c:y val="0.18749961853105"/>
          <c:w val="0.834343845852986"/>
          <c:h val="0.674998626711778"/>
        </c:manualLayout>
      </c:layout>
      <c:barChart>
        <c:barDir val="col"/>
        <c:grouping val="stacked"/>
        <c:varyColors val="0"/>
        <c:ser>
          <c:idx val="0"/>
          <c:order val="0"/>
          <c:tx>
            <c:v>No</c:v>
          </c:tx>
          <c:spPr>
            <a:solidFill>
              <a:srgbClr val="9999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1'!$A$5:$A$8</c:f>
              <c:strCache>
                <c:ptCount val="4"/>
                <c:pt idx="0">
                  <c:v>&lt;$100,000</c:v>
                </c:pt>
                <c:pt idx="1">
                  <c:v>$100,000 - $250,000</c:v>
                </c:pt>
                <c:pt idx="2">
                  <c:v>$250,000- $500,000</c:v>
                </c:pt>
                <c:pt idx="3">
                  <c:v>&gt; $500,000</c:v>
                </c:pt>
              </c:strCache>
            </c:strRef>
          </c:cat>
          <c:val>
            <c:numRef>
              <c:f>'Question 1'!$D$5:$D$8</c:f>
              <c:numCache>
                <c:formatCode>General</c:formatCode>
                <c:ptCount val="4"/>
                <c:pt idx="0">
                  <c:v>10.0</c:v>
                </c:pt>
                <c:pt idx="1">
                  <c:v>5.0</c:v>
                </c:pt>
                <c:pt idx="2">
                  <c:v>5.0</c:v>
                </c:pt>
                <c:pt idx="3">
                  <c:v>12.0</c:v>
                </c:pt>
              </c:numCache>
            </c:numRef>
          </c:val>
        </c:ser>
        <c:ser>
          <c:idx val="1"/>
          <c:order val="1"/>
          <c:tx>
            <c:v>Yes</c:v>
          </c:tx>
          <c:spPr>
            <a:solidFill>
              <a:srgbClr val="993366"/>
            </a:solidFill>
            <a:ln w="12700">
              <a:solidFill>
                <a:srgbClr val="000000"/>
              </a:solidFill>
              <a:prstDash val="solid"/>
            </a:ln>
          </c:spPr>
          <c:invertIfNegative val="0"/>
          <c:dLbls>
            <c:dLbl>
              <c:idx val="0"/>
              <c:layout/>
              <c:tx>
                <c:rich>
                  <a:bodyPr/>
                  <a:lstStyle/>
                  <a:p>
                    <a:r>
                      <a:rPr lang="en-US"/>
                      <a:t>23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'Question 1'!$A$5:$A$8</c:f>
              <c:strCache>
                <c:ptCount val="4"/>
                <c:pt idx="0">
                  <c:v>&lt;$100,000</c:v>
                </c:pt>
                <c:pt idx="1">
                  <c:v>$100,000 - $250,000</c:v>
                </c:pt>
                <c:pt idx="2">
                  <c:v>$250,000- $500,000</c:v>
                </c:pt>
                <c:pt idx="3">
                  <c:v>&gt; $500,000</c:v>
                </c:pt>
              </c:strCache>
            </c:strRef>
          </c:cat>
          <c:val>
            <c:numRef>
              <c:f>'Question 1'!$C$5:$C$8</c:f>
              <c:numCache>
                <c:formatCode>General</c:formatCode>
                <c:ptCount val="4"/>
                <c:pt idx="0">
                  <c:v>23.0</c:v>
                </c:pt>
                <c:pt idx="1">
                  <c:v>10.0</c:v>
                </c:pt>
                <c:pt idx="2">
                  <c:v>3.0</c:v>
                </c:pt>
                <c:pt idx="3">
                  <c:v>20.0</c:v>
                </c:pt>
              </c:numCache>
            </c:numRef>
          </c:val>
        </c:ser>
        <c:dLbls>
          <c:showLegendKey val="0"/>
          <c:showVal val="0"/>
          <c:showCatName val="0"/>
          <c:showSerName val="0"/>
          <c:showPercent val="0"/>
          <c:showBubbleSize val="0"/>
        </c:dLbls>
        <c:gapWidth val="150"/>
        <c:overlap val="100"/>
        <c:axId val="2074095928"/>
        <c:axId val="2063680376"/>
      </c:barChart>
      <c:catAx>
        <c:axId val="2074095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63680376"/>
        <c:crosses val="autoZero"/>
        <c:auto val="1"/>
        <c:lblAlgn val="ctr"/>
        <c:lblOffset val="100"/>
        <c:tickLblSkip val="1"/>
        <c:tickMarkSkip val="1"/>
        <c:noMultiLvlLbl val="0"/>
      </c:catAx>
      <c:valAx>
        <c:axId val="20636803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74095928"/>
        <c:crossesAt val="1.0"/>
        <c:crossBetween val="between"/>
      </c:valAx>
      <c:spPr>
        <a:solidFill>
          <a:srgbClr val="EEEEEE"/>
        </a:solidFill>
        <a:ln w="25400">
          <a:noFill/>
        </a:ln>
      </c:spPr>
    </c:plotArea>
    <c:legend>
      <c:legendPos val="r"/>
      <c:layout>
        <c:manualLayout>
          <c:xMode val="edge"/>
          <c:yMode val="edge"/>
          <c:x val="0.9191923725499"/>
          <c:y val="0.470832375422413"/>
          <c:w val="0.0666666995475751"/>
          <c:h val="0.11249977111863"/>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What are the drivers of demand for consultants in your Department? (check all that apply)</a:t>
            </a:r>
          </a:p>
        </c:rich>
      </c:tx>
      <c:layout>
        <c:manualLayout>
          <c:xMode val="edge"/>
          <c:yMode val="edge"/>
          <c:x val="0.125252480232424"/>
          <c:y val="0.0357142857142857"/>
        </c:manualLayout>
      </c:layout>
      <c:overlay val="0"/>
      <c:spPr>
        <a:noFill/>
        <a:ln w="25400">
          <a:noFill/>
        </a:ln>
      </c:spPr>
    </c:title>
    <c:autoTitleDeleted val="0"/>
    <c:plotArea>
      <c:layout>
        <c:manualLayout>
          <c:layoutTarget val="inner"/>
          <c:xMode val="edge"/>
          <c:yMode val="edge"/>
          <c:x val="0.115151571945812"/>
          <c:y val="0.230158953139487"/>
          <c:w val="0.86262668808529"/>
          <c:h val="0.543651320346719"/>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1"/>
              <c:layout>
                <c:manualLayout>
                  <c:x val="-0.00462962962962967"/>
                  <c:y val="-0.021905805038335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'Question 10'!$A$4:$A$8</c:f>
              <c:strCache>
                <c:ptCount val="5"/>
                <c:pt idx="0">
                  <c:v>Cost savings</c:v>
                </c:pt>
                <c:pt idx="1">
                  <c:v>Human resource shortfalls</c:v>
                </c:pt>
                <c:pt idx="2">
                  <c:v>Need for specialized expertise</c:v>
                </c:pt>
                <c:pt idx="3">
                  <c:v>Temporary work issues</c:v>
                </c:pt>
                <c:pt idx="4">
                  <c:v>Management philosophy or practices</c:v>
                </c:pt>
              </c:strCache>
            </c:strRef>
          </c:cat>
          <c:val>
            <c:numRef>
              <c:f>'Question 10'!$C$4:$C$8</c:f>
              <c:numCache>
                <c:formatCode>0.0%</c:formatCode>
                <c:ptCount val="5"/>
                <c:pt idx="0">
                  <c:v>0.16</c:v>
                </c:pt>
                <c:pt idx="1">
                  <c:v>0.642</c:v>
                </c:pt>
                <c:pt idx="2">
                  <c:v>0.858</c:v>
                </c:pt>
                <c:pt idx="3">
                  <c:v>0.33</c:v>
                </c:pt>
                <c:pt idx="4">
                  <c:v>0.142</c:v>
                </c:pt>
              </c:numCache>
            </c:numRef>
          </c:val>
        </c:ser>
        <c:dLbls>
          <c:showLegendKey val="0"/>
          <c:showVal val="0"/>
          <c:showCatName val="0"/>
          <c:showSerName val="0"/>
          <c:showPercent val="0"/>
          <c:showBubbleSize val="0"/>
        </c:dLbls>
        <c:gapWidth val="150"/>
        <c:axId val="2074254936"/>
        <c:axId val="2074859752"/>
      </c:barChart>
      <c:catAx>
        <c:axId val="2074254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74859752"/>
        <c:crosses val="autoZero"/>
        <c:auto val="1"/>
        <c:lblAlgn val="ctr"/>
        <c:lblOffset val="100"/>
        <c:tickLblSkip val="1"/>
        <c:tickMarkSkip val="1"/>
        <c:noMultiLvlLbl val="0"/>
      </c:catAx>
      <c:valAx>
        <c:axId val="2074859752"/>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2074254936"/>
        <c:crossesAt val="1.0"/>
        <c:crossBetween val="between"/>
      </c:valAx>
      <c:spPr>
        <a:solidFill>
          <a:srgbClr val="EEEEEE"/>
        </a:solidFill>
        <a:ln w="25400">
          <a:noFill/>
        </a:ln>
      </c:spPr>
    </c:plotArea>
    <c:plotVisOnly val="1"/>
    <c:dispBlanksAs val="gap"/>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'Question 27'!$C$3:$G$3</c:f>
              <c:strCache>
                <c:ptCount val="5"/>
                <c:pt idx="0">
                  <c:v>Always</c:v>
                </c:pt>
                <c:pt idx="1">
                  <c:v>Frequently</c:v>
                </c:pt>
                <c:pt idx="2">
                  <c:v>Sometimes</c:v>
                </c:pt>
                <c:pt idx="3">
                  <c:v>Rarely</c:v>
                </c:pt>
                <c:pt idx="4">
                  <c:v>Never</c:v>
                </c:pt>
              </c:strCache>
            </c:strRef>
          </c:cat>
          <c:val>
            <c:numRef>
              <c:f>'Question 27'!$C$4:$G$4</c:f>
              <c:numCache>
                <c:formatCode>General</c:formatCode>
                <c:ptCount val="5"/>
                <c:pt idx="0">
                  <c:v>9.0</c:v>
                </c:pt>
                <c:pt idx="1">
                  <c:v>18.0</c:v>
                </c:pt>
                <c:pt idx="2">
                  <c:v>33.0</c:v>
                </c:pt>
                <c:pt idx="3">
                  <c:v>20.0</c:v>
                </c:pt>
                <c:pt idx="4">
                  <c:v>5.0</c:v>
                </c:pt>
              </c:numCache>
            </c:numRef>
          </c:val>
        </c:ser>
        <c:dLbls>
          <c:showLegendKey val="0"/>
          <c:showVal val="0"/>
          <c:showCatName val="0"/>
          <c:showSerName val="0"/>
          <c:showPercent val="0"/>
          <c:showBubbleSize val="0"/>
        </c:dLbls>
        <c:gapWidth val="150"/>
        <c:shape val="box"/>
        <c:axId val="2079164280"/>
        <c:axId val="2079167256"/>
        <c:axId val="0"/>
      </c:bar3DChart>
      <c:catAx>
        <c:axId val="2079164280"/>
        <c:scaling>
          <c:orientation val="minMax"/>
        </c:scaling>
        <c:delete val="0"/>
        <c:axPos val="b"/>
        <c:majorTickMark val="out"/>
        <c:minorTickMark val="none"/>
        <c:tickLblPos val="nextTo"/>
        <c:crossAx val="2079167256"/>
        <c:crosses val="autoZero"/>
        <c:auto val="1"/>
        <c:lblAlgn val="ctr"/>
        <c:lblOffset val="100"/>
        <c:noMultiLvlLbl val="0"/>
      </c:catAx>
      <c:valAx>
        <c:axId val="2079167256"/>
        <c:scaling>
          <c:orientation val="minMax"/>
        </c:scaling>
        <c:delete val="0"/>
        <c:axPos val="l"/>
        <c:majorGridlines/>
        <c:numFmt formatCode="General" sourceLinked="1"/>
        <c:majorTickMark val="out"/>
        <c:minorTickMark val="none"/>
        <c:tickLblPos val="nextTo"/>
        <c:crossAx val="20791642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bg1">
                <a:lumMod val="75000"/>
              </a:schemeClr>
            </a:solidFill>
          </c:spPr>
          <c:invertIfNegative val="0"/>
          <c:dLbls>
            <c:showLegendKey val="0"/>
            <c:showVal val="1"/>
            <c:showCatName val="0"/>
            <c:showSerName val="0"/>
            <c:showPercent val="0"/>
            <c:showBubbleSize val="0"/>
            <c:showLeaderLines val="0"/>
          </c:dLbls>
          <c:cat>
            <c:strRef>
              <c:f>'Question 28'!$C$33:$G$33</c:f>
              <c:strCache>
                <c:ptCount val="5"/>
                <c:pt idx="0">
                  <c:v>Always</c:v>
                </c:pt>
                <c:pt idx="1">
                  <c:v>Frequently</c:v>
                </c:pt>
                <c:pt idx="2">
                  <c:v>Sometimes</c:v>
                </c:pt>
                <c:pt idx="3">
                  <c:v>Rarely</c:v>
                </c:pt>
                <c:pt idx="4">
                  <c:v>Never</c:v>
                </c:pt>
              </c:strCache>
            </c:strRef>
          </c:cat>
          <c:val>
            <c:numRef>
              <c:f>'Question 28'!$C$34:$G$34</c:f>
              <c:numCache>
                <c:formatCode>0.00%</c:formatCode>
                <c:ptCount val="5"/>
                <c:pt idx="0">
                  <c:v>0.0240963855421687</c:v>
                </c:pt>
                <c:pt idx="1">
                  <c:v>0.144578313253012</c:v>
                </c:pt>
                <c:pt idx="2">
                  <c:v>0.373493975903614</c:v>
                </c:pt>
                <c:pt idx="3">
                  <c:v>0.325301204819277</c:v>
                </c:pt>
                <c:pt idx="4">
                  <c:v>0.132530120481928</c:v>
                </c:pt>
              </c:numCache>
            </c:numRef>
          </c:val>
        </c:ser>
        <c:dLbls>
          <c:showLegendKey val="0"/>
          <c:showVal val="0"/>
          <c:showCatName val="0"/>
          <c:showSerName val="0"/>
          <c:showPercent val="0"/>
          <c:showBubbleSize val="0"/>
        </c:dLbls>
        <c:gapWidth val="150"/>
        <c:shape val="box"/>
        <c:axId val="2078450072"/>
        <c:axId val="2078453048"/>
        <c:axId val="0"/>
      </c:bar3DChart>
      <c:catAx>
        <c:axId val="2078450072"/>
        <c:scaling>
          <c:orientation val="minMax"/>
        </c:scaling>
        <c:delete val="0"/>
        <c:axPos val="b"/>
        <c:majorTickMark val="out"/>
        <c:minorTickMark val="none"/>
        <c:tickLblPos val="nextTo"/>
        <c:crossAx val="2078453048"/>
        <c:crosses val="autoZero"/>
        <c:auto val="1"/>
        <c:lblAlgn val="ctr"/>
        <c:lblOffset val="100"/>
        <c:noMultiLvlLbl val="0"/>
      </c:catAx>
      <c:valAx>
        <c:axId val="2078453048"/>
        <c:scaling>
          <c:orientation val="minMax"/>
        </c:scaling>
        <c:delete val="0"/>
        <c:axPos val="l"/>
        <c:majorGridlines/>
        <c:numFmt formatCode="0.00%" sourceLinked="1"/>
        <c:majorTickMark val="out"/>
        <c:minorTickMark val="none"/>
        <c:tickLblPos val="nextTo"/>
        <c:crossAx val="20784500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'Question 28'!$C$3:$G$3</c:f>
              <c:strCache>
                <c:ptCount val="5"/>
                <c:pt idx="0">
                  <c:v>Always</c:v>
                </c:pt>
                <c:pt idx="1">
                  <c:v>Frequently</c:v>
                </c:pt>
                <c:pt idx="2">
                  <c:v>Sometimes</c:v>
                </c:pt>
                <c:pt idx="3">
                  <c:v>Rarely</c:v>
                </c:pt>
                <c:pt idx="4">
                  <c:v>Never</c:v>
                </c:pt>
              </c:strCache>
            </c:strRef>
          </c:cat>
          <c:val>
            <c:numRef>
              <c:f>'Question 28'!$C$4:$G$4</c:f>
              <c:numCache>
                <c:formatCode>General</c:formatCode>
                <c:ptCount val="5"/>
                <c:pt idx="0">
                  <c:v>2.0</c:v>
                </c:pt>
                <c:pt idx="1">
                  <c:v>12.0</c:v>
                </c:pt>
                <c:pt idx="2">
                  <c:v>31.0</c:v>
                </c:pt>
                <c:pt idx="3">
                  <c:v>27.0</c:v>
                </c:pt>
                <c:pt idx="4">
                  <c:v>11.0</c:v>
                </c:pt>
              </c:numCache>
            </c:numRef>
          </c:val>
        </c:ser>
        <c:dLbls>
          <c:showLegendKey val="0"/>
          <c:showVal val="0"/>
          <c:showCatName val="0"/>
          <c:showSerName val="0"/>
          <c:showPercent val="0"/>
          <c:showBubbleSize val="0"/>
        </c:dLbls>
        <c:gapWidth val="150"/>
        <c:shape val="box"/>
        <c:axId val="2078964728"/>
        <c:axId val="2078063688"/>
        <c:axId val="0"/>
      </c:bar3DChart>
      <c:catAx>
        <c:axId val="2078964728"/>
        <c:scaling>
          <c:orientation val="minMax"/>
        </c:scaling>
        <c:delete val="0"/>
        <c:axPos val="b"/>
        <c:majorTickMark val="out"/>
        <c:minorTickMark val="none"/>
        <c:tickLblPos val="nextTo"/>
        <c:crossAx val="2078063688"/>
        <c:crosses val="autoZero"/>
        <c:auto val="1"/>
        <c:lblAlgn val="ctr"/>
        <c:lblOffset val="100"/>
        <c:noMultiLvlLbl val="0"/>
      </c:catAx>
      <c:valAx>
        <c:axId val="2078063688"/>
        <c:scaling>
          <c:orientation val="minMax"/>
        </c:scaling>
        <c:delete val="0"/>
        <c:axPos val="l"/>
        <c:majorGridlines/>
        <c:numFmt formatCode="General" sourceLinked="1"/>
        <c:majorTickMark val="out"/>
        <c:minorTickMark val="none"/>
        <c:tickLblPos val="nextTo"/>
        <c:crossAx val="20789647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'Question 42'!$C$3:$G$3</c:f>
              <c:strCache>
                <c:ptCount val="5"/>
                <c:pt idx="0">
                  <c:v>Always</c:v>
                </c:pt>
                <c:pt idx="1">
                  <c:v>Frequently</c:v>
                </c:pt>
                <c:pt idx="2">
                  <c:v>Sometimes</c:v>
                </c:pt>
                <c:pt idx="3">
                  <c:v>Rarely</c:v>
                </c:pt>
                <c:pt idx="4">
                  <c:v>Never</c:v>
                </c:pt>
              </c:strCache>
            </c:strRef>
          </c:cat>
          <c:val>
            <c:numRef>
              <c:f>'Question 42'!$C$4:$G$4</c:f>
              <c:numCache>
                <c:formatCode>General</c:formatCode>
                <c:ptCount val="5"/>
                <c:pt idx="0">
                  <c:v>4.0</c:v>
                </c:pt>
                <c:pt idx="1">
                  <c:v>6.0</c:v>
                </c:pt>
                <c:pt idx="2">
                  <c:v>27.0</c:v>
                </c:pt>
                <c:pt idx="3">
                  <c:v>25.0</c:v>
                </c:pt>
                <c:pt idx="4">
                  <c:v>16.0</c:v>
                </c:pt>
              </c:numCache>
            </c:numRef>
          </c:val>
        </c:ser>
        <c:dLbls>
          <c:showLegendKey val="0"/>
          <c:showVal val="0"/>
          <c:showCatName val="0"/>
          <c:showSerName val="0"/>
          <c:showPercent val="0"/>
          <c:showBubbleSize val="0"/>
        </c:dLbls>
        <c:gapWidth val="150"/>
        <c:shape val="box"/>
        <c:axId val="2067487752"/>
        <c:axId val="2067490728"/>
        <c:axId val="0"/>
      </c:bar3DChart>
      <c:catAx>
        <c:axId val="2067487752"/>
        <c:scaling>
          <c:orientation val="minMax"/>
        </c:scaling>
        <c:delete val="0"/>
        <c:axPos val="b"/>
        <c:majorTickMark val="out"/>
        <c:minorTickMark val="none"/>
        <c:tickLblPos val="nextTo"/>
        <c:crossAx val="2067490728"/>
        <c:crosses val="autoZero"/>
        <c:auto val="1"/>
        <c:lblAlgn val="ctr"/>
        <c:lblOffset val="100"/>
        <c:noMultiLvlLbl val="0"/>
      </c:catAx>
      <c:valAx>
        <c:axId val="2067490728"/>
        <c:scaling>
          <c:orientation val="minMax"/>
        </c:scaling>
        <c:delete val="0"/>
        <c:axPos val="l"/>
        <c:majorGridlines/>
        <c:numFmt formatCode="General" sourceLinked="1"/>
        <c:majorTickMark val="out"/>
        <c:minorTickMark val="none"/>
        <c:tickLblPos val="nextTo"/>
        <c:crossAx val="2067487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6981</Words>
  <Characters>39798</Characters>
  <Application>Microsoft Macintosh Word</Application>
  <DocSecurity>0</DocSecurity>
  <Lines>331</Lines>
  <Paragraphs>93</Paragraphs>
  <ScaleCrop>false</ScaleCrop>
  <Company>SFU</Company>
  <LinksUpToDate>false</LinksUpToDate>
  <CharactersWithSpaces>46686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Migone</dc:creator>
  <cp:keywords/>
  <cp:lastModifiedBy>Michael Howlett</cp:lastModifiedBy>
  <cp:revision>2</cp:revision>
  <dcterms:created xsi:type="dcterms:W3CDTF">2013-02-11T06:36:00Z</dcterms:created>
  <dcterms:modified xsi:type="dcterms:W3CDTF">2013-02-11T06:36:00Z</dcterms:modified>
</cp:coreProperties>
</file>